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Kıbrıs Cumhuriyeti Şehircilik ve Tapu Ön İnceleme Rehberi</w:t>
      </w:r>
    </w:p>
    <w:p>
      <w:pPr>
        <w:pStyle w:val="Subtitle"/>
      </w:pPr>
      <w:r>
        <w:rPr>
          <w:color w:val="557087"/>
        </w:rPr>
        <w:t>IVY NEOS DEVELOPMENT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Kıbrıs Cumhuriyeti’nde yapılaşma kapasitesi parselin Development Plan zonu, resmî cadastral planı, planning zone haritası ve ilgili Local Authority hükümleriyle belirlenir. Bu belge yalnız IVY NEOS DEVELOPMENT markasıyla kullanılacaktır.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Town and Country Planning mevzuatı, Planning and Housing Department politikaları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Local Plan veya Statement of Policy ile zoning maps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District ve Local Authority koşulları ile altyapı görüşleri</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Title deed, sheet plan, block, plot, rights of way, burdens ve cadastral plan</w:t>
            </w:r>
          </w:p>
        </w:tc>
      </w:tr>
    </w:tbl>
    <w:p>
      <w:pPr>
        <w:spacing w:after="0"/>
      </w:pPr>
    </w:p>
    <w:p>
      <w:r>
        <w:rPr>
          <w:b/>
        </w:rPr>
        <w:t xml:space="preserve">Başlangıç makamı  </w:t>
      </w:r>
      <w:r>
        <w:t>Department of Town Planning and Housing, Department of Lands and Surveys ve ilgili Local Authority</w:t>
      </w:r>
    </w:p>
    <w:p>
      <w:r>
        <w:rPr>
          <w:b/>
        </w:rPr>
        <w:t xml:space="preserve">Ruhsat yaklaşımı  </w:t>
      </w:r>
      <w:r>
        <w:t>Planning permit ve building permit ayrı aşamalar hâlinde yetkili yerel danışmanlarla yürütülür.</w:t>
      </w:r>
    </w:p>
    <w:p>
      <w:pPr>
        <w:pStyle w:val="Heading1"/>
      </w:pPr>
      <w:r>
        <w:t>Koçan geldiğinde yapılacak parsel analizi</w:t>
      </w:r>
    </w:p>
    <w:p>
      <w:pPr>
        <w:pStyle w:val="ListBullet"/>
        <w:spacing w:after="80"/>
      </w:pPr>
      <w:r>
        <w:t>Title deed üzerindeki sheet plan, block, plot ve alan</w:t>
      </w:r>
    </w:p>
    <w:p>
      <w:pPr>
        <w:pStyle w:val="ListBullet"/>
        <w:spacing w:after="80"/>
      </w:pPr>
      <w:r>
        <w:t>Planning zone ve yürürlükteki Local Plan</w:t>
      </w:r>
    </w:p>
    <w:p>
      <w:pPr>
        <w:pStyle w:val="ListBullet"/>
        <w:spacing w:after="80"/>
      </w:pPr>
      <w:r>
        <w:t>Building density, coverage, floors ve height</w:t>
      </w:r>
    </w:p>
    <w:p>
      <w:pPr>
        <w:pStyle w:val="ListBullet"/>
        <w:spacing w:after="80"/>
      </w:pPr>
      <w:r>
        <w:t>Setbacks, parking, access ve road widening</w:t>
      </w:r>
    </w:p>
    <w:p>
      <w:pPr>
        <w:pStyle w:val="ListBullet"/>
        <w:spacing w:after="80"/>
      </w:pPr>
      <w:r>
        <w:t>Coastal, Natura, archaeology, listed building ve flood constraints</w:t>
      </w:r>
    </w:p>
    <w:p>
      <w:pPr>
        <w:pStyle w:val="ListBullet"/>
        <w:spacing w:after="80"/>
      </w:pPr>
      <w:r>
        <w:t>Right of way, easement, burden ve mortgage kayıtları</w:t>
      </w:r>
    </w:p>
    <w:p>
      <w:pPr>
        <w:pStyle w:val="ListBullet"/>
        <w:spacing w:after="80"/>
      </w:pPr>
      <w:r>
        <w:t>Sewerage, water, electricity ve fire access kapasitesi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Department of Town Planning and Housing</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https://www.moi.gov.cy/moi/tph/tph.nsf/home_en/home_en?OpenForm</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Department of Lands and Surveys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https://portal.dls.moi.gov.cy/en-us/homepage/</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Government 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https://www.gov.cy/</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Local authority</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belediye veya district authority resmî sitesi</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IVY NEOS DEVELOPMENT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IVY NEOS DEVELOPMENT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moi.gov.cy/moi/tph/tph.nsf/home_en/home_en?OpenForm" TargetMode="External"/><Relationship Id="rId10" Type="http://schemas.openxmlformats.org/officeDocument/2006/relationships/hyperlink" Target="https://portal.dls.moi.gov.cy/en-us/homepage/" TargetMode="External"/><Relationship Id="rId11" Type="http://schemas.openxmlformats.org/officeDocument/2006/relationships/hyperlink" Target="https://www.gov.cy/"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