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Galler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Galler’in planlama sistemi İngiltere’den ayrıdır. Future Wales, Planning Policy Wales, ilgili Local Development Plan ve parsel kısıtları birlikte okunmalıdır.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Future Wales 2040 ve Planning Policy Wales</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Teknik</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Technical Advice Notes ve development management guidance</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Local Development Plan, proposals map ve supplementary guidance</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Planning history, flood, coal, ecology, heritage, highways ve title</w:t>
            </w:r>
          </w:p>
        </w:tc>
      </w:tr>
    </w:tbl>
    <w:p>
      <w:pPr>
        <w:spacing w:after="0"/>
      </w:pPr>
    </w:p>
    <w:p>
      <w:r>
        <w:rPr>
          <w:b/>
        </w:rPr>
        <w:t xml:space="preserve">Başlangıç makamı  </w:t>
      </w:r>
      <w:r>
        <w:t>İlgili Local Planning Authority, Natural Resources Wales ve gerekli highways veya heritage birimleri</w:t>
      </w:r>
    </w:p>
    <w:p>
      <w:r>
        <w:rPr>
          <w:b/>
        </w:rPr>
        <w:t xml:space="preserve">Ruhsat yaklaşımı  </w:t>
      </w:r>
      <w:r>
        <w:t>Planning permission ve building regulations approval ayrı kontrol edilir.</w:t>
      </w:r>
    </w:p>
    <w:p>
      <w:pPr>
        <w:pStyle w:val="Heading1"/>
      </w:pPr>
      <w:r>
        <w:t>Koçan geldiğinde yapılacak parsel analizi</w:t>
      </w:r>
    </w:p>
    <w:p>
      <w:pPr>
        <w:pStyle w:val="ListBullet"/>
        <w:spacing w:after="80"/>
      </w:pPr>
      <w:r>
        <w:t>Doğru Local Planning Authority tespiti</w:t>
      </w:r>
    </w:p>
    <w:p>
      <w:pPr>
        <w:pStyle w:val="ListBullet"/>
        <w:spacing w:after="80"/>
      </w:pPr>
      <w:r>
        <w:t>LDP allocation ve policy map kontrolü</w:t>
      </w:r>
    </w:p>
    <w:p>
      <w:pPr>
        <w:pStyle w:val="ListBullet"/>
        <w:spacing w:after="80"/>
      </w:pPr>
      <w:r>
        <w:t>Use, density, design, height ve amenity politikaları</w:t>
      </w:r>
    </w:p>
    <w:p>
      <w:pPr>
        <w:pStyle w:val="ListBullet"/>
        <w:spacing w:after="80"/>
      </w:pPr>
      <w:r>
        <w:t>Flood Map for Planning ve drainage koşulları</w:t>
      </w:r>
    </w:p>
    <w:p>
      <w:pPr>
        <w:pStyle w:val="ListBullet"/>
        <w:spacing w:after="80"/>
      </w:pPr>
      <w:r>
        <w:t>Coal, ecology, landscape, heritage ve Welsh language etkileri</w:t>
      </w:r>
    </w:p>
    <w:p>
      <w:pPr>
        <w:pStyle w:val="ListBullet"/>
        <w:spacing w:after="80"/>
      </w:pPr>
      <w:r>
        <w:t>Access, parking ve active travel şartları</w:t>
      </w:r>
    </w:p>
    <w:p>
      <w:pPr>
        <w:pStyle w:val="ListBullet"/>
        <w:spacing w:after="80"/>
      </w:pPr>
      <w:r>
        <w:t>Planning permission ve building regulations ayrımı</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Planning Policy Wales</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https://www.gov.wales/planning-policy-wales</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Development plans</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https://www.gov.wales/development-plans</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Development management manual</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https://www.gov.wales/development-management-manual</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Planning applications Wales</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2">
              <w:r>
                <w:rPr>
                  <w:color w:val="123F68"/>
                  <w:u w:val="single"/>
                </w:rPr>
                <w:t>https://www.planningapplications.wales/</w:t>
              </w:r>
            </w:hyperlink>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3"/>
      <w:footerReference w:type="default" r:id="rId14"/>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gov.wales/planning-policy-wales" TargetMode="External"/><Relationship Id="rId10" Type="http://schemas.openxmlformats.org/officeDocument/2006/relationships/hyperlink" Target="https://www.gov.wales/development-plans" TargetMode="External"/><Relationship Id="rId11" Type="http://schemas.openxmlformats.org/officeDocument/2006/relationships/hyperlink" Target="https://www.gov.wales/development-management-manual" TargetMode="External"/><Relationship Id="rId12" Type="http://schemas.openxmlformats.org/officeDocument/2006/relationships/hyperlink" Target="https://www.planningapplications.wales/" TargetMode="External"/><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