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Uruguay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Uruguay’da Ley 18.308 çerçevesinde departmental instruments ve intendencia rules yapılaşma hakkını belirler. Padrón numarası ulusal geoportal ve yerel planla eşleştirilmelidir.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Ley 18.308 ve national territorial directives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Departman</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Departmental territorial plan ve special instruments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Intendencia land use, urban parameters ve heritage rules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Padrón, cadastral plan, title, services ve restrictions</w:t>
            </w:r>
          </w:p>
        </w:tc>
      </w:tr>
    </w:tbl>
    <w:p>
      <w:pPr>
        <w:spacing w:after="0"/>
      </w:pPr>
    </w:p>
    <w:p>
      <w:r>
        <w:rPr>
          <w:b/>
        </w:rPr>
        <w:t xml:space="preserve">Başlangıç makamı  </w:t>
      </w:r>
      <w:r>
        <w:t>İlgili Intendencia, MVOT ve cadastral authorities</w:t>
      </w:r>
    </w:p>
    <w:p>
      <w:r>
        <w:rPr>
          <w:b/>
        </w:rPr>
        <w:t xml:space="preserve">Ruhsat yaklaşımı  </w:t>
      </w:r>
      <w:r>
        <w:t>Viabilidad, implantación ve permiso de construcción departmana göre doğrulanır.</w:t>
      </w:r>
    </w:p>
    <w:p>
      <w:pPr>
        <w:pStyle w:val="Heading1"/>
      </w:pPr>
      <w:r>
        <w:t>Koçan geldiğinde yapılacak parsel analizi</w:t>
      </w:r>
    </w:p>
    <w:p>
      <w:pPr>
        <w:pStyle w:val="ListBullet"/>
        <w:spacing w:after="80"/>
      </w:pPr>
      <w:r>
        <w:t>Departamento ve intendencia tespiti</w:t>
      </w:r>
    </w:p>
    <w:p>
      <w:pPr>
        <w:pStyle w:val="ListBullet"/>
        <w:spacing w:after="80"/>
      </w:pPr>
      <w:r>
        <w:t>Soil category and territorial instrument</w:t>
      </w:r>
    </w:p>
    <w:p>
      <w:pPr>
        <w:pStyle w:val="ListBullet"/>
        <w:spacing w:after="80"/>
      </w:pPr>
      <w:r>
        <w:t>FOS, FOT, height, setbacks and subdivision</w:t>
      </w:r>
    </w:p>
    <w:p>
      <w:pPr>
        <w:pStyle w:val="ListBullet"/>
        <w:spacing w:after="80"/>
      </w:pPr>
      <w:r>
        <w:t>Padrón, title and cadastral geometry</w:t>
      </w:r>
    </w:p>
    <w:p>
      <w:pPr>
        <w:pStyle w:val="ListBullet"/>
        <w:spacing w:after="80"/>
      </w:pPr>
      <w:r>
        <w:t>Coastal, flood, rural, heritage and environmental constraints</w:t>
      </w:r>
    </w:p>
    <w:p>
      <w:pPr>
        <w:pStyle w:val="ListBullet"/>
        <w:spacing w:after="80"/>
      </w:pPr>
      <w:r>
        <w:t>Access, sanitation and utility capacity</w:t>
      </w:r>
    </w:p>
    <w:p>
      <w:pPr>
        <w:pStyle w:val="ListBullet"/>
        <w:spacing w:after="80"/>
      </w:pPr>
      <w:r>
        <w:t>Viability and construction permit route</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MVOT SIT Geoportal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https://sit.mvot.gub.uy/</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INOT viewer</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https://geoportal.mvot.gub.uy/sitio/portal/inot</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Territorial planning regulation</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https://www.gub.uy/ministerio-vivienda-ordenamiento-territorial/institucional/normativa/decreto-523009-reglamentacion-ley-18308-sobre-instrumentos-procedimientos</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Montevideo construction permit example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https://montevideo.gub.uy/pasos-para-solicitar-un-permiso-de-implantacion-o-construccion/permiso-de-construccion</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it.mvot.gub.uy/" TargetMode="External"/><Relationship Id="rId10" Type="http://schemas.openxmlformats.org/officeDocument/2006/relationships/hyperlink" Target="https://geoportal.mvot.gub.uy/sitio/portal/inot" TargetMode="External"/><Relationship Id="rId11" Type="http://schemas.openxmlformats.org/officeDocument/2006/relationships/hyperlink" Target="https://www.gub.uy/ministerio-vivienda-ordenamiento-territorial/institucional/normativa/decreto-523009-reglamentacion-ley-18308-sobre-instrumentos-procedimientos" TargetMode="External"/><Relationship Id="rId12" Type="http://schemas.openxmlformats.org/officeDocument/2006/relationships/hyperlink" Target="https://montevideo.gub.uy/pasos-para-solicitar-un-permiso-de-implantacion-o-construccion/permiso-de-construccion"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