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Birleşik Arap Emirlikleri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BAE’de emirlik ve municipality bazında master plan, plot affection plan, land use, design code ve building regulations değişir. Dubai, Abu Dhabi ve diğer emirlikler ayrı doğrulanmalıdır.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Federal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Federal property, environment ve safety framework</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Emirlik</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Emirate master plan, land department ve development authority rules</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Municipality zoning, building code ve community design guidelines</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Title deed, plot plan, affection plan, NOC, access ve utilities</w:t>
            </w:r>
          </w:p>
        </w:tc>
      </w:tr>
    </w:tbl>
    <w:p>
      <w:pPr>
        <w:spacing w:after="0"/>
      </w:pPr>
    </w:p>
    <w:p>
      <w:r>
        <w:rPr>
          <w:b/>
        </w:rPr>
        <w:t xml:space="preserve">Başlangıç makamı  </w:t>
      </w:r>
      <w:r>
        <w:t>İlgili emirlik municipality, land department, master developer ve Civil Defence</w:t>
      </w:r>
    </w:p>
    <w:p>
      <w:r>
        <w:rPr>
          <w:b/>
        </w:rPr>
        <w:t xml:space="preserve">Ruhsat yaklaşımı  </w:t>
      </w:r>
      <w:r>
        <w:t>Building permit ve NOC zinciri emirlik ve development area şartlarına göre yürütülür.</w:t>
      </w:r>
    </w:p>
    <w:p>
      <w:pPr>
        <w:pStyle w:val="Heading1"/>
      </w:pPr>
      <w:r>
        <w:t>Koçan geldiğinde yapılacak parsel analizi</w:t>
      </w:r>
    </w:p>
    <w:p>
      <w:pPr>
        <w:pStyle w:val="ListBullet"/>
        <w:spacing w:after="80"/>
      </w:pPr>
      <w:r>
        <w:t>Emirate, municipality ve master developer tespiti</w:t>
      </w:r>
    </w:p>
    <w:p>
      <w:pPr>
        <w:pStyle w:val="ListBullet"/>
        <w:spacing w:after="80"/>
      </w:pPr>
      <w:r>
        <w:t>Land use ve plot designation</w:t>
      </w:r>
    </w:p>
    <w:p>
      <w:pPr>
        <w:pStyle w:val="ListBullet"/>
        <w:spacing w:after="80"/>
      </w:pPr>
      <w:r>
        <w:t>GFA or FAR, coverage, height ve setbacks</w:t>
      </w:r>
    </w:p>
    <w:p>
      <w:pPr>
        <w:pStyle w:val="ListBullet"/>
        <w:spacing w:after="80"/>
      </w:pPr>
      <w:r>
        <w:t>Title restrictions ve developer covenants</w:t>
      </w:r>
    </w:p>
    <w:p>
      <w:pPr>
        <w:pStyle w:val="ListBullet"/>
        <w:spacing w:after="80"/>
      </w:pPr>
      <w:r>
        <w:t>Civil Defence, aviation, coastal ve environmental controls</w:t>
      </w:r>
    </w:p>
    <w:p>
      <w:pPr>
        <w:pStyle w:val="ListBullet"/>
        <w:spacing w:after="80"/>
      </w:pPr>
      <w:r>
        <w:t>Parking, road access, district cooling and utilities</w:t>
      </w:r>
    </w:p>
    <w:p>
      <w:pPr>
        <w:pStyle w:val="ListBullet"/>
        <w:spacing w:after="80"/>
      </w:pPr>
      <w:r>
        <w:t>Concept approval, NOCs and building permit route</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UAE official infrastructure portal</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https://u.ae/en/information-and-services/infrastructure/infrastructure-and-vision-2021</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Building permits and certificates</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https://u.ae/en/information-and-services/business/obtaining-certificates-and-licences/obtaining-certificates-and-permits</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Dubai unified building platform</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https://buildindubai.gov.ae/</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Abu Dhabi DMT</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https://www.dmt.gov.ae/</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u.ae/en/information-and-services/infrastructure/infrastructure-and-vision-2021" TargetMode="External"/><Relationship Id="rId10" Type="http://schemas.openxmlformats.org/officeDocument/2006/relationships/hyperlink" Target="https://u.ae/en/information-and-services/business/obtaining-certificates-and-licences/obtaining-certificates-and-permits" TargetMode="External"/><Relationship Id="rId11" Type="http://schemas.openxmlformats.org/officeDocument/2006/relationships/hyperlink" Target="https://buildindubai.gov.ae/" TargetMode="External"/><Relationship Id="rId12" Type="http://schemas.openxmlformats.org/officeDocument/2006/relationships/hyperlink" Target="https://www.dmt.gov.ae/"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