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İsviçre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İsviçre’de federal Raumplanung çerçevesi kanton ve Gemeinde planlarıyla uygulanır. Bauzone, Nutzungsplan, belediye yapı düzeni ve kadastral kamu hukuku kısıtları birlikte incelenmelidir.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Federal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Raumplanungsgesetz ve federal koruma hükümleri</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Kanton</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Richtplan, cantonal planning ve building law</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Belediye</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Nutzungsplan, zoning map ve Bauordnung</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Land register, cadastre, ÖREB, hazards, access ve services</w:t>
            </w:r>
          </w:p>
        </w:tc>
      </w:tr>
    </w:tbl>
    <w:p>
      <w:pPr>
        <w:spacing w:after="0"/>
      </w:pPr>
    </w:p>
    <w:p>
      <w:r>
        <w:rPr>
          <w:b/>
        </w:rPr>
        <w:t xml:space="preserve">Başlangıç makamı  </w:t>
      </w:r>
      <w:r>
        <w:t>İlgili Gemeinde building authority ve canton planning department</w:t>
      </w:r>
    </w:p>
    <w:p>
      <w:r>
        <w:rPr>
          <w:b/>
        </w:rPr>
        <w:t xml:space="preserve">Ruhsat yaklaşımı  </w:t>
      </w:r>
      <w:r>
        <w:t>Baubewilligung kanton ve belediye prosedürüne göre alınır.</w:t>
      </w:r>
    </w:p>
    <w:p>
      <w:pPr>
        <w:pStyle w:val="Heading1"/>
      </w:pPr>
      <w:r>
        <w:t>Koçan geldiğinde yapılacak parsel analizi</w:t>
      </w:r>
    </w:p>
    <w:p>
      <w:pPr>
        <w:pStyle w:val="ListBullet"/>
        <w:spacing w:after="80"/>
      </w:pPr>
      <w:r>
        <w:t>Canton ve Gemeinde tespiti</w:t>
      </w:r>
    </w:p>
    <w:p>
      <w:pPr>
        <w:pStyle w:val="ListBullet"/>
        <w:spacing w:after="80"/>
      </w:pPr>
      <w:r>
        <w:t>Bauzone ve land use designation</w:t>
      </w:r>
    </w:p>
    <w:p>
      <w:pPr>
        <w:pStyle w:val="ListBullet"/>
        <w:spacing w:after="80"/>
      </w:pPr>
      <w:r>
        <w:t>Ausnützungsziffer, coverage, height ve setbacks</w:t>
      </w:r>
    </w:p>
    <w:p>
      <w:pPr>
        <w:pStyle w:val="ListBullet"/>
        <w:spacing w:after="80"/>
      </w:pPr>
      <w:r>
        <w:t>ÖREB public law restrictions</w:t>
      </w:r>
    </w:p>
    <w:p>
      <w:pPr>
        <w:pStyle w:val="ListBullet"/>
        <w:spacing w:after="80"/>
      </w:pPr>
      <w:r>
        <w:t>Natural hazards, water, forest ve heritage</w:t>
      </w:r>
    </w:p>
    <w:p>
      <w:pPr>
        <w:pStyle w:val="ListBullet"/>
        <w:spacing w:after="80"/>
      </w:pPr>
      <w:r>
        <w:t>Access, parking, utilities ve energy rules</w:t>
      </w:r>
    </w:p>
    <w:p>
      <w:pPr>
        <w:pStyle w:val="ListBullet"/>
        <w:spacing w:after="80"/>
      </w:pPr>
      <w:r>
        <w:t>Preliminary ruling ve building permit process</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Federal Office for Spatial Development</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https://www.are.admin.ch/</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Federal geoportal</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https://map.geo.admin.ch/</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Cadastre Switzerland</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https://www.cadastre.ch/</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Federal legislation</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https://www.fedlex.admin.ch/</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are.admin.ch/" TargetMode="External"/><Relationship Id="rId10" Type="http://schemas.openxmlformats.org/officeDocument/2006/relationships/hyperlink" Target="https://map.geo.admin.ch/" TargetMode="External"/><Relationship Id="rId11" Type="http://schemas.openxmlformats.org/officeDocument/2006/relationships/hyperlink" Target="https://www.cadastre.ch/" TargetMode="External"/><Relationship Id="rId12" Type="http://schemas.openxmlformats.org/officeDocument/2006/relationships/hyperlink" Target="https://www.fedlex.admin.ch/"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