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İspanya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İspanya’da devlet arazi çerçevesi bulunsa da uygulanabilir imar hakkı Autonomous Community ve Ayuntamiento seviyesindeki planlardan çıkar. Aynı ülke içinde PGOU adı, sınıflandırma ve hesap yöntemi bölgeye göre değişebilir.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Ley de Suelo y Rehabilitación Urbana ve sektörel mevzuat</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Özerk bölge</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Autonomous Community arazi, çevre, kıyı ve planlama mevzuatı</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PGOU veya bölgeye göre eşdeğer genel plan, ayrıntılı plan ve ordenanzas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Referencia catastral, nota simple, alineaciones, cargas ve urbanización durumu</w:t>
            </w:r>
          </w:p>
        </w:tc>
      </w:tr>
    </w:tbl>
    <w:p>
      <w:pPr>
        <w:spacing w:after="0"/>
      </w:pPr>
    </w:p>
    <w:p>
      <w:r>
        <w:rPr>
          <w:b/>
        </w:rPr>
        <w:t xml:space="preserve">Başlangıç makamı  </w:t>
      </w:r>
      <w:r>
        <w:t>İlgili Ayuntamiento ve Autonomous Community planlama, çevre ve miras birimleri</w:t>
      </w:r>
    </w:p>
    <w:p>
      <w:r>
        <w:rPr>
          <w:b/>
        </w:rPr>
        <w:t xml:space="preserve">Ruhsat yaklaşımı  </w:t>
      </w:r>
      <w:r>
        <w:t>Licencia urbanística veya ilgili yerel prosedür belediye mevzuatına göre teyit edilir.</w:t>
      </w:r>
    </w:p>
    <w:p>
      <w:pPr>
        <w:pStyle w:val="Heading1"/>
      </w:pPr>
      <w:r>
        <w:t>Koçan geldiğinde yapılacak parsel analizi</w:t>
      </w:r>
    </w:p>
    <w:p>
      <w:pPr>
        <w:pStyle w:val="ListBullet"/>
        <w:spacing w:after="80"/>
      </w:pPr>
      <w:r>
        <w:t>Ayuntamiento ve Autonomous Community tespiti</w:t>
      </w:r>
    </w:p>
    <w:p>
      <w:pPr>
        <w:pStyle w:val="ListBullet"/>
        <w:spacing w:after="80"/>
      </w:pPr>
      <w:r>
        <w:t>Suelo sınıfı ve calificación urbanística</w:t>
      </w:r>
    </w:p>
    <w:p>
      <w:pPr>
        <w:pStyle w:val="ListBullet"/>
        <w:spacing w:after="80"/>
      </w:pPr>
      <w:r>
        <w:t>Edificabilidad, ocupación, altura, plantas ve retranqueos</w:t>
      </w:r>
    </w:p>
    <w:p>
      <w:pPr>
        <w:pStyle w:val="ListBullet"/>
        <w:spacing w:after="80"/>
      </w:pPr>
      <w:r>
        <w:t>Planın yürürlük ve değişiklik tarihi ile askıdaki revizyonlar</w:t>
      </w:r>
    </w:p>
    <w:p>
      <w:pPr>
        <w:pStyle w:val="ListBullet"/>
        <w:spacing w:after="80"/>
      </w:pPr>
      <w:r>
        <w:t>Kıyı, taşkın, miras, orman ve çevre sınırlamaları</w:t>
      </w:r>
    </w:p>
    <w:p>
      <w:pPr>
        <w:pStyle w:val="ListBullet"/>
        <w:spacing w:after="80"/>
      </w:pPr>
      <w:r>
        <w:t>Urbanización yükümlülükleri ve kamuya terkler</w:t>
      </w:r>
    </w:p>
    <w:p>
      <w:pPr>
        <w:pStyle w:val="ListBullet"/>
        <w:spacing w:after="80"/>
      </w:pPr>
      <w:r>
        <w:t>Licencia urbanística, teknik altyapı ve kullanım uygunluğu</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Consolidated national land law</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https://www.boe.es/buscar/act.php?id=BOE-A-2015-11723</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Spanish Cadastre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https://www.sedecatastro.gob.es/</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Official State Gazette</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https://www.boe.es/</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Regional and municipal planning portals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Ayuntamiento ve Comunidad Autónoma resmî web siteleri</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boe.es/buscar/act.php?id=BOE-A-2015-11723" TargetMode="External"/><Relationship Id="rId10" Type="http://schemas.openxmlformats.org/officeDocument/2006/relationships/hyperlink" Target="https://www.sedecatastro.gob.es/" TargetMode="External"/><Relationship Id="rId11" Type="http://schemas.openxmlformats.org/officeDocument/2006/relationships/hyperlink" Target="https://www.boe.es/"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