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İskoçya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İskoçya’nın planlama sistemi İngiltere’den ayrıdır. National Planning Framework 4, ilgili planning authority Local Development Plan ve parsel bazındaki designations birlikte incelenmelidir.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National Planning Framework 4 ve Scottish planning legislation</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Strategic ve sectoral policies ile çevre ve ulaşım kararları</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Local Development Plan, proposals map ve supplementary guidance</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Planning history, title conditions, flood, heritage, access ve utilities</w:t>
            </w:r>
          </w:p>
        </w:tc>
      </w:tr>
    </w:tbl>
    <w:p>
      <w:pPr>
        <w:spacing w:after="0"/>
      </w:pPr>
    </w:p>
    <w:p>
      <w:r>
        <w:rPr>
          <w:b/>
        </w:rPr>
        <w:t xml:space="preserve">Başlangıç makamı  </w:t>
      </w:r>
      <w:r>
        <w:t>İlgili Scottish planning authority, Building Standards, SEPA ve gerekli heritage veya transport kurumları</w:t>
      </w:r>
    </w:p>
    <w:p>
      <w:r>
        <w:rPr>
          <w:b/>
        </w:rPr>
        <w:t xml:space="preserve">Ruhsat yaklaşımı  </w:t>
      </w:r>
      <w:r>
        <w:t>Planning permission ve building warrant ayrı süreçlerdir; proje özelinde ikisi de teyit edilir.</w:t>
      </w:r>
    </w:p>
    <w:p>
      <w:pPr>
        <w:pStyle w:val="Heading1"/>
      </w:pPr>
      <w:r>
        <w:t>Koçan geldiğinde yapılacak parsel analizi</w:t>
      </w:r>
    </w:p>
    <w:p>
      <w:pPr>
        <w:pStyle w:val="ListBullet"/>
        <w:spacing w:after="80"/>
      </w:pPr>
      <w:r>
        <w:t>Doğru planning authority ve LDP tespiti</w:t>
      </w:r>
    </w:p>
    <w:p>
      <w:pPr>
        <w:pStyle w:val="ListBullet"/>
        <w:spacing w:after="80"/>
      </w:pPr>
      <w:r>
        <w:t>NPF4 politikaları ve site allocation kontrolü</w:t>
      </w:r>
    </w:p>
    <w:p>
      <w:pPr>
        <w:pStyle w:val="ListBullet"/>
        <w:spacing w:after="80"/>
      </w:pPr>
      <w:r>
        <w:t>Conservation area, listed building ve scheduled monument</w:t>
      </w:r>
    </w:p>
    <w:p>
      <w:pPr>
        <w:pStyle w:val="ListBullet"/>
        <w:spacing w:after="80"/>
      </w:pPr>
      <w:r>
        <w:t>Flood map, peatland, woodland ve habitat sınırlamaları</w:t>
      </w:r>
    </w:p>
    <w:p>
      <w:pPr>
        <w:pStyle w:val="ListBullet"/>
        <w:spacing w:after="80"/>
      </w:pPr>
      <w:r>
        <w:t>Road access, visibility, parking ve active travel</w:t>
      </w:r>
    </w:p>
    <w:p>
      <w:pPr>
        <w:pStyle w:val="ListBullet"/>
        <w:spacing w:after="80"/>
      </w:pPr>
      <w:r>
        <w:t>Developer contributions ve affordable housing yükümlülükleri</w:t>
      </w:r>
    </w:p>
    <w:p>
      <w:pPr>
        <w:pStyle w:val="ListBullet"/>
        <w:spacing w:after="80"/>
      </w:pPr>
      <w:r>
        <w:t>Planning permission ve building warrant gereklilikleri</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Scottish planning portal</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https://www.gov.scot/policies/planning-architecture/</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National Planning Framework 4</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https://www.gov.scot/publications/national-planning-framework-4/</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ePlanning Scotland</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https://www.eplanning.scot/ePlanningClient/</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SEPA flood maps</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https://map.sepa.org.uk/floodmaps</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gov.scot/policies/planning-architecture/" TargetMode="External"/><Relationship Id="rId10" Type="http://schemas.openxmlformats.org/officeDocument/2006/relationships/hyperlink" Target="https://www.gov.scot/publications/national-planning-framework-4/" TargetMode="External"/><Relationship Id="rId11" Type="http://schemas.openxmlformats.org/officeDocument/2006/relationships/hyperlink" Target="https://www.eplanning.scot/ePlanningClient/" TargetMode="External"/><Relationship Id="rId12" Type="http://schemas.openxmlformats.org/officeDocument/2006/relationships/hyperlink" Target="https://map.sepa.org.uk/floodmaps"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