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Romanya Şehircilik ve Parsel Ön İnceleme Rehberi</w:t>
      </w:r>
    </w:p>
    <w:p>
      <w:pPr>
        <w:pStyle w:val="Subtitle"/>
      </w:pPr>
      <w:r>
        <w:rPr>
          <w:color w:val="557087"/>
        </w:rPr>
        <w:t>IVI NEOS GLOBAL  Ön Fizibilite ve Koçan Analiz Sistemi</w:t>
      </w:r>
    </w:p>
    <w:p>
      <w:pPr>
        <w:pStyle w:val="SmallMeta"/>
      </w:pPr>
      <w:r>
        <w:t>Hazırlanma tarihi  24 Eylül 2026</w:t>
        <w:br/>
        <w:t>Kullanım  Arsa geliştirme, JV, banka, yatırımcı ve belediye ön görüşmesi</w:t>
      </w:r>
    </w:p>
    <w:p/>
    <w:p>
      <w:r>
        <w:rPr>
          <w:b/>
        </w:rPr>
        <w:t xml:space="preserve">Ana sonuç  </w:t>
      </w:r>
      <w:r>
        <w:t>Romanya’da PUG, PUZ veya PUD ve Certificat de Urbanism parsel kapasitesinin ana kaynaklarıdır. Land book ve cadastre ile planning certificate aynı parsel için doğrulanmalıdır.</w:t>
      </w:r>
    </w:p>
    <w:p>
      <w:r>
        <w:rPr>
          <w:b/>
        </w:rPr>
        <w:t xml:space="preserve">Önemli sınır  </w:t>
      </w:r>
      <w:r>
        <w:t>Bu rehber ülke genelinde sabit imar oranı vermez. Kesin sonuç, koçan veya tapu ile koordinatlı site planının ilgili belediye planı, resmî harita ve kurum kayıtlarıyla eşleştirilmesiyle hazırlanır.</w:t>
      </w:r>
    </w:p>
    <w:p>
      <w:pPr>
        <w:pStyle w:val="Heading1"/>
      </w:pPr>
      <w:r>
        <w:t>Planlama sistemi ve yetki sırası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80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Seviye</w:t>
            </w:r>
          </w:p>
        </w:tc>
        <w:tc>
          <w:tcPr>
            <w:tcW w:type="dxa" w:w="799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Kontrol edilecek belge ve kurum</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Ulusal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Spatial planning, urbanism ve construction authorisation laws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Bölgesel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County plan ve environmental or heritage constraints</w:t>
            </w:r>
          </w:p>
        </w:tc>
      </w:tr>
      <w:tr>
        <w:trPr>
          <w:cantSplit w:val="true"/>
        </w:trPr>
        <w:tc>
          <w:tcPr>
            <w:tcW w:type="dxa" w:w="180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Yerel</w:t>
            </w:r>
          </w:p>
        </w:tc>
        <w:tc>
          <w:tcPr>
            <w:tcW w:type="dxa" w:w="799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PUG, PUZ, PUD ve local urban regulations</w:t>
            </w:r>
          </w:p>
        </w:tc>
      </w:tr>
      <w:tr>
        <w:trPr>
          <w:cantSplit w:val="true"/>
        </w:trPr>
        <w:tc>
          <w:tcPr>
            <w:tcW w:type="dxa" w:w="180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w:t>
            </w:r>
          </w:p>
        </w:tc>
        <w:tc>
          <w:tcPr>
            <w:tcW w:type="dxa" w:w="799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Carte funciară, cadastral plan, Certificat de Urbanism ve utilities</w:t>
            </w:r>
          </w:p>
        </w:tc>
      </w:tr>
    </w:tbl>
    <w:p>
      <w:pPr>
        <w:spacing w:after="0"/>
      </w:pPr>
    </w:p>
    <w:p>
      <w:r>
        <w:rPr>
          <w:b/>
        </w:rPr>
        <w:t xml:space="preserve">Başlangıç makamı  </w:t>
      </w:r>
      <w:r>
        <w:t>İlgili primărie urbanism department, county ve ANCPI</w:t>
      </w:r>
    </w:p>
    <w:p>
      <w:r>
        <w:rPr>
          <w:b/>
        </w:rPr>
        <w:t xml:space="preserve">Ruhsat yaklaşımı  </w:t>
      </w:r>
      <w:r>
        <w:t>Certificat de Urbanism gerekli görüşleri tanımlar; ardından building authorisation alınır.</w:t>
      </w:r>
    </w:p>
    <w:p>
      <w:pPr>
        <w:pStyle w:val="Heading1"/>
      </w:pPr>
      <w:r>
        <w:t>Koçan geldiğinde yapılacak parsel analizi</w:t>
      </w:r>
    </w:p>
    <w:p>
      <w:pPr>
        <w:pStyle w:val="ListBullet"/>
        <w:spacing w:after="80"/>
      </w:pPr>
      <w:r>
        <w:t>Municipality ve county tespiti</w:t>
      </w:r>
    </w:p>
    <w:p>
      <w:pPr>
        <w:pStyle w:val="ListBullet"/>
        <w:spacing w:after="80"/>
      </w:pPr>
      <w:r>
        <w:t>PUG veya PUZ zoning function</w:t>
      </w:r>
    </w:p>
    <w:p>
      <w:pPr>
        <w:pStyle w:val="ListBullet"/>
        <w:spacing w:after="80"/>
      </w:pPr>
      <w:r>
        <w:t>POT, CUT, height regime ve setbacks</w:t>
      </w:r>
    </w:p>
    <w:p>
      <w:pPr>
        <w:pStyle w:val="ListBullet"/>
        <w:spacing w:after="80"/>
      </w:pPr>
      <w:r>
        <w:t>Land book, cadastre ve access rights</w:t>
      </w:r>
    </w:p>
    <w:p>
      <w:pPr>
        <w:pStyle w:val="ListBullet"/>
        <w:spacing w:after="80"/>
      </w:pPr>
      <w:r>
        <w:t>Heritage, flood, seismic, protected ve agricultural land</w:t>
      </w:r>
    </w:p>
    <w:p>
      <w:pPr>
        <w:pStyle w:val="ListBullet"/>
        <w:spacing w:after="80"/>
      </w:pPr>
      <w:r>
        <w:t>Utilities, road and fire access</w:t>
      </w:r>
    </w:p>
    <w:p>
      <w:pPr>
        <w:pStyle w:val="ListBullet"/>
        <w:spacing w:after="80"/>
      </w:pPr>
      <w:r>
        <w:t>Certificat de Urbanism ve Autorizaţie de Construire route</w:t>
      </w:r>
    </w:p>
    <w:p>
      <w:pPr>
        <w:pStyle w:val="Heading1"/>
      </w:pPr>
      <w:r>
        <w:t>Yapılaşma kapasitesi için gerekli veriler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2232"/>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Parametre</w:t>
            </w:r>
          </w:p>
        </w:tc>
        <w:tc>
          <w:tcPr>
            <w:tcW w:type="dxa" w:w="7560"/>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Nasıl doğrulanır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Parsel alanı</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Tapu veya kadastro belgesindeki net alan ve varsa yol terkinden sonraki alan</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İzinli kullanım</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Konut, turizm, ticaret, karma kullanım, endüstri veya tarım statüsü</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Emsal veya yoğunluk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Toplam hesaplanabilir brüt inşaat alanını belirleyen oran veya yerel eşdeğeri</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Taban oturumu</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Yapının zeminde kaplayabileceği azami alan veya yerel kapsama oranı</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Kat ve yükseklik</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Azami kat, saçak, cephe ve toplam yapı yüksekliği sınırları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Çekme mesafeleri</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yan, arka, yol, kıyı ve komşu sınırlardan mesafeler</w:t>
            </w:r>
          </w:p>
        </w:tc>
      </w:tr>
      <w:tr>
        <w:trPr>
          <w:cantSplit w:val="true"/>
        </w:trPr>
        <w:tc>
          <w:tcPr>
            <w:tcW w:type="dxa" w:w="2232"/>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Otopark ve erişim</w:t>
            </w:r>
          </w:p>
        </w:tc>
        <w:tc>
          <w:tcPr>
            <w:tcW w:type="dxa" w:w="7560"/>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Araç sayısı, yol genişliği, giriş çıkış ve yangın erişimi şartları</w:t>
            </w:r>
          </w:p>
        </w:tc>
      </w:tr>
      <w:tr>
        <w:trPr>
          <w:cantSplit w:val="true"/>
        </w:trPr>
        <w:tc>
          <w:tcPr>
            <w:tcW w:type="dxa" w:w="2232"/>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Koruma ve risk</w:t>
            </w:r>
          </w:p>
        </w:tc>
        <w:tc>
          <w:tcPr>
            <w:tcW w:type="dxa" w:w="7560"/>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taşkın, orman, arkeoloji, miras, heyelan, deprem ve çevre kısıtları</w:t>
            </w:r>
          </w:p>
        </w:tc>
      </w:tr>
    </w:tbl>
    <w:p>
      <w:pPr>
        <w:spacing w:after="0"/>
      </w:pPr>
    </w:p>
    <w:p>
      <w:pPr>
        <w:pStyle w:val="Heading1"/>
      </w:pPr>
      <w:r>
        <w:t>Ön kapasite hesabı</w:t>
      </w:r>
    </w:p>
    <w:p>
      <w:r>
        <w:t>Parsel alanı ile resmî yoğunluk veya emsal oranı çarpılarak yoğunluk kaynaklı üst sınır hesaplanır. Parsel alanı ile taban oturum oranı çarpılarak azami zemin oturumu bulunur. Zemin oturumu ile izinli kat sayısının çarpımı ikinci bir yapı zarfı verir. Teorik toplam alan, bu iki sınırın düşük olanıdır.</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302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Hesap</w:t>
            </w:r>
          </w:p>
        </w:tc>
        <w:tc>
          <w:tcPr>
            <w:tcW w:type="dxa" w:w="67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keepNext/>
              <w:jc w:val="center"/>
            </w:pPr>
            <w:r>
              <w:rPr>
                <w:b/>
                <w:color w:val="FFFFFF"/>
                <w:sz w:val="18"/>
              </w:rPr>
              <w:t>Formül</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Yoğunluk alanı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yoğunluk veya emsal</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Net parsel alanı × kapsama oranı</w:t>
            </w:r>
          </w:p>
        </w:tc>
      </w:tr>
      <w:tr>
        <w:trPr>
          <w:cantSplit w:val="true"/>
        </w:trPr>
        <w:tc>
          <w:tcPr>
            <w:tcW w:type="dxa" w:w="302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Kat zarfı</w:t>
            </w:r>
          </w:p>
        </w:tc>
        <w:tc>
          <w:tcPr>
            <w:tcW w:type="dxa" w:w="67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keepNext/>
              <w:spacing w:after="0"/>
            </w:pPr>
            <w:r>
              <w:rPr>
                <w:sz w:val="18"/>
              </w:rPr>
              <w:t>Azami taban oturumu × izinli kat</w:t>
            </w:r>
          </w:p>
        </w:tc>
      </w:tr>
      <w:tr>
        <w:trPr>
          <w:cantSplit w:val="true"/>
        </w:trPr>
        <w:tc>
          <w:tcPr>
            <w:tcW w:type="dxa" w:w="302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Ön teorik toplam</w:t>
            </w:r>
          </w:p>
        </w:tc>
        <w:tc>
          <w:tcPr>
            <w:tcW w:type="dxa" w:w="67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alanı ile kat zarfından düşük olan</w:t>
            </w:r>
          </w:p>
        </w:tc>
      </w:tr>
    </w:tbl>
    <w:p>
      <w:pPr>
        <w:spacing w:after="0"/>
      </w:pPr>
    </w:p>
    <w:p>
      <w:r>
        <w:t>Yol terkleri, çekmeler, otopark, yangın erişimi, merdiven ve asansör çekirdeği, topografya, koruma kararları ve altyapı kapasitesi bu alanı azaltabilir.</w:t>
      </w:r>
    </w:p>
    <w:p>
      <w:pPr>
        <w:pStyle w:val="Heading1"/>
      </w:pPr>
      <w:r>
        <w:t>İstenecek belgeler</w:t>
      </w:r>
    </w:p>
    <w:p>
      <w:pPr>
        <w:pStyle w:val="ListBullet"/>
        <w:spacing w:after="80"/>
      </w:pPr>
      <w:r>
        <w:t>Tam ve okunabilir koçan, tapu veya title belgesi</w:t>
      </w:r>
    </w:p>
    <w:p>
      <w:pPr>
        <w:pStyle w:val="ListBullet"/>
        <w:spacing w:after="80"/>
      </w:pPr>
      <w:r>
        <w:t>Koordinatlı ölçülü site planı veya topoğrafik plan</w:t>
      </w:r>
    </w:p>
    <w:p>
      <w:pPr>
        <w:pStyle w:val="ListBullet"/>
        <w:spacing w:after="80"/>
      </w:pPr>
      <w:r>
        <w:t>Ada parsel, kadastro veya eşdeğer resmî parsel numarası</w:t>
      </w:r>
    </w:p>
    <w:p>
      <w:pPr>
        <w:pStyle w:val="ListBullet"/>
        <w:spacing w:after="80"/>
      </w:pPr>
      <w:r>
        <w:t>Varsa güncel imar belgesi, planning statement veya belediye yazısı</w:t>
      </w:r>
    </w:p>
    <w:p>
      <w:pPr>
        <w:pStyle w:val="ListBullet"/>
        <w:spacing w:after="80"/>
      </w:pPr>
      <w:r>
        <w:t>Mevcut yapı ruhsatları, onaylı projeler ve kullanım izinleri</w:t>
      </w:r>
    </w:p>
    <w:p>
      <w:pPr>
        <w:pStyle w:val="ListBullet"/>
        <w:spacing w:after="80"/>
      </w:pPr>
      <w:r>
        <w:t>Takyidat, irtifak, ipotek ve yol hakkı bilgileri</w:t>
      </w:r>
    </w:p>
    <w:p>
      <w:pPr>
        <w:pStyle w:val="ListBullet"/>
        <w:spacing w:after="80"/>
      </w:pPr>
      <w:r>
        <w:t>Altyapı bağlantıları, yol cephesi ve güncel arazi fotoğrafları</w:t>
      </w:r>
    </w:p>
    <w:p>
      <w:pPr>
        <w:pStyle w:val="Heading1"/>
      </w:pPr>
      <w:r>
        <w:t>Hazırlanacak koçan sunumu</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100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Bölüm</w:t>
            </w:r>
          </w:p>
        </w:tc>
        <w:tc>
          <w:tcPr>
            <w:tcW w:type="dxa" w:w="8784"/>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Sunum içeriği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1</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Arazi kimliği, konum ve uydu görünümü</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2</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Koçandan çıkarılan parsel ve mülkiyet bilgileri; kişisel kimlik verileri gizlenir</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3</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Yetkili kurum, yürürlükteki plan ve imar zonu</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4</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Yoğunluk, taban, kat, yükseklik ve çekme değerleri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5</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Teorik inşaat alanı ve alternatif proje senaryoları</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6</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Yol, otopark, altyapı, topografya ve erişim</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7</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Kıyı, çevre, miras, taşkın ve diğer riskler</w:t>
            </w:r>
          </w:p>
        </w:tc>
      </w:tr>
      <w:tr>
        <w:trPr>
          <w:cantSplit w:val="true"/>
        </w:trPr>
        <w:tc>
          <w:tcPr>
            <w:tcW w:type="dxa" w:w="100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8</w:t>
            </w:r>
          </w:p>
        </w:tc>
        <w:tc>
          <w:tcPr>
            <w:tcW w:type="dxa" w:w="8784"/>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Eksik belgeler ve resmî doğrulama listesi</w:t>
            </w:r>
          </w:p>
        </w:tc>
      </w:tr>
      <w:tr>
        <w:trPr>
          <w:cantSplit w:val="true"/>
        </w:trPr>
        <w:tc>
          <w:tcPr>
            <w:tcW w:type="dxa" w:w="100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9</w:t>
            </w:r>
          </w:p>
        </w:tc>
        <w:tc>
          <w:tcPr>
            <w:tcW w:type="dxa" w:w="8784"/>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pPr>
              <w:spacing w:after="0"/>
            </w:pPr>
            <w:r>
              <w:rPr>
                <w:sz w:val="18"/>
              </w:rPr>
              <w:t>Yatırım veya JV önerisi ve sonraki adımlar</w:t>
            </w:r>
          </w:p>
        </w:tc>
      </w:tr>
    </w:tbl>
    <w:p>
      <w:pPr>
        <w:spacing w:after="0"/>
      </w:pPr>
    </w:p>
    <w:p>
      <w:pPr>
        <w:pStyle w:val="Heading1"/>
      </w:pPr>
      <w:r>
        <w:t>Resmî başlangıç kaynakları</w:t>
      </w:r>
    </w:p>
    <w:tbl>
      <w:tblPr>
        <w:tblW w:type="auto" w:w="0"/>
        <w:jc w:val="center"/>
        <w:tblLayout w:type="fixed"/>
        <w:tblLook w:firstColumn="1" w:firstRow="1" w:lastColumn="0" w:lastRow="0" w:noHBand="0" w:noVBand="1" w:val="04A0"/>
      </w:tblPr>
      <w:tblGrid>
        <w:gridCol w:w="4968"/>
        <w:gridCol w:w="4968"/>
      </w:tblGrid>
      <w:tr>
        <w:trPr>
          <w:tblHeader w:val="true"/>
          <w:cantSplit w:val="true"/>
        </w:trPr>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Kaynak</w:t>
            </w:r>
          </w:p>
        </w:tc>
        <w:tc>
          <w:tcPr>
            <w:tcW w:type="dxa" w:w="4968"/>
            <w:shd w:fill="123F68"/>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sz w:val="18"/>
              </w:rPr>
              <w:t>Bağlantı</w:t>
            </w:r>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Ministry of Development</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9">
              <w:r>
                <w:rPr>
                  <w:color w:val="123F68"/>
                  <w:u w:val="single"/>
                </w:rPr>
                <w:t>https://www.mdlpa.ro/</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National Cadastre ANCPI</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0">
              <w:r>
                <w:rPr>
                  <w:color w:val="123F68"/>
                  <w:u w:val="single"/>
                </w:rPr>
                <w:t>https://www.ancpi.ro/</w:t>
              </w:r>
            </w:hyperlink>
          </w:p>
        </w:tc>
      </w:tr>
      <w:tr>
        <w:trPr>
          <w:cantSplit w:val="true"/>
        </w:trPr>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Romanian legislation</w:t>
            </w:r>
          </w:p>
        </w:tc>
        <w:tc>
          <w:tcPr>
            <w:tcW w:type="dxa" w:w="4968"/>
            <w:shd w:fill="FFFFFF"/>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hyperlink r:id="rId11">
              <w:r>
                <w:rPr>
                  <w:color w:val="123F68"/>
                  <w:u w:val="single"/>
                </w:rPr>
                <w:t>https://legislatie.just.ro/</w:t>
              </w:r>
            </w:hyperlink>
          </w:p>
        </w:tc>
      </w:tr>
      <w:tr>
        <w:trPr>
          <w:cantSplit w:val="true"/>
        </w:trPr>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Municipal planning portal</w:t>
            </w:r>
          </w:p>
        </w:tc>
        <w:tc>
          <w:tcPr>
            <w:tcW w:type="dxa" w:w="4968"/>
            <w:shd w:fill="F7F9FA"/>
            <w:tcMar>
              <w:top w:w="120" w:type="dxa"/>
              <w:start w:w="140" w:type="dxa"/>
              <w:bottom w:w="120" w:type="dxa"/>
              <w:end w:w="140" w:type="dxa"/>
            </w:tcMar>
            <w:tcBorders>
              <w:top w:val="single" w:sz="6" w:color="D9D9D9"/>
              <w:left w:val="single" w:sz="6" w:color="D9D9D9"/>
              <w:bottom w:val="single" w:sz="6" w:color="D9D9D9"/>
              <w:right w:val="single" w:sz="6" w:color="D9D9D9"/>
              <w:insideH w:val="single" w:sz="6" w:color="D9D9D9"/>
              <w:insideV w:val="single" w:sz="6" w:color="D9D9D9"/>
            </w:tcBorders>
            <w:vAlign w:val="center"/>
          </w:tcPr>
          <w:p>
            <w:r>
              <w:rPr>
                <w:sz w:val="18"/>
              </w:rPr>
              <w:t>İlgili belediyenin resmî urbanism portalı</w:t>
            </w:r>
          </w:p>
        </w:tc>
      </w:tr>
    </w:tbl>
    <w:p>
      <w:pPr>
        <w:pStyle w:val="Heading1"/>
      </w:pPr>
      <w:r>
        <w:t>Hukuki ve teknik not</w:t>
      </w:r>
    </w:p>
    <w:p>
      <w:r>
        <w:t>Bu belge yatırım ve mimari ön inceleme rehberidir; resmî imar durumu, ruhsat, değerleme veya hukuki görüş değildir. Mevzuat, plan ve harita verileri değişebilir. Parsel bazındaki kararlar ilgili ülkede yetkili mimar, mühendis, planlama uzmanı ve gerektiğinde hukukçu tarafından resmî kurumlardan doğrulanmalıdır.</w:t>
      </w:r>
    </w:p>
    <w:sectPr w:rsidR="00FC693F" w:rsidRPr="0006063C" w:rsidSect="00034616">
      <w:headerReference w:type="default" r:id="rId12"/>
      <w:footerReference w:type="default" r:id="rId13"/>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IVI NEOS GLOBAL  |  Ön inceleme belgesi  |  24 Eylül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Meta"/>
    </w:pPr>
    <w:r>
      <w:t>IVI NEOS GLOBAL   Şehircilik ve Parsel Ön İnceleme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253B4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0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Meta">
    <w:name w:val="Small Meta"/>
    <w:rPr>
      <w:rFonts w:ascii="Aptos" w:hAnsi="Aptos"/>
      <w:color w:val="557087"/>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mdlpa.ro/" TargetMode="External"/><Relationship Id="rId10" Type="http://schemas.openxmlformats.org/officeDocument/2006/relationships/hyperlink" Target="https://www.ancpi.ro/" TargetMode="External"/><Relationship Id="rId11" Type="http://schemas.openxmlformats.org/officeDocument/2006/relationships/hyperlink" Target="https://legislatie.just.ro/" TargetMode="External"/><Relationship Id="rId12" Type="http://schemas.openxmlformats.org/officeDocument/2006/relationships/header" Target="header1.xm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