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Rodos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Rodos’ta belediye planı, yerleşim statüsü, arkeolojik ve geleneksel doku koruması ile kıyı ve orman sınırlamaları yatırım kapasitesini önemli ölçüde değiştirebilir. Ialysos ve diğer bölgeler aynı kabul edilmemelidir.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Yunan mekânsal planlama, yapı ve ruhsat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South Aegean Region ve Rhodes Regional Unit kararları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Municipality of Rhodes planları, yerleşim ve FEK hükümleri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KAEK, topoğrafik plan, erişim, artiliotita, arkeoloji ve kıyı katmanları</w:t>
            </w:r>
          </w:p>
        </w:tc>
      </w:tr>
    </w:tbl>
    <w:p>
      <w:pPr>
        <w:spacing w:after="0"/>
      </w:pPr>
    </w:p>
    <w:p>
      <w:r>
        <w:rPr>
          <w:b/>
        </w:rPr>
        <w:t xml:space="preserve">Başlangıç makamı  </w:t>
      </w:r>
      <w:r>
        <w:t>Municipality of Rhodes, ilgili YDOM, Hellenic Cadastre ve arkeoloji veya kıyı makamları</w:t>
      </w:r>
    </w:p>
    <w:p>
      <w:r>
        <w:rPr>
          <w:b/>
        </w:rPr>
        <w:t xml:space="preserve">Ruhsat yaklaşımı  </w:t>
      </w:r>
      <w:r>
        <w:t>Ruhsat e Adeies sistemi üzerinden yerel yetkili mühendis tarafından yürütülür.</w:t>
      </w:r>
    </w:p>
    <w:p>
      <w:pPr>
        <w:pStyle w:val="Heading1"/>
      </w:pPr>
      <w:r>
        <w:t>Koçan geldiğinde yapılacak parsel analizi</w:t>
      </w:r>
    </w:p>
    <w:p>
      <w:pPr>
        <w:pStyle w:val="ListBullet"/>
        <w:spacing w:after="80"/>
      </w:pPr>
      <w:r>
        <w:t>Tam belediye birimi ve yerleşim adının belirlenmesi</w:t>
      </w:r>
    </w:p>
    <w:p>
      <w:pPr>
        <w:pStyle w:val="ListBullet"/>
        <w:spacing w:after="80"/>
      </w:pPr>
      <w:r>
        <w:t>Plan içi veya plan dışı statü ile artiliotita koşulları</w:t>
      </w:r>
    </w:p>
    <w:p>
      <w:pPr>
        <w:pStyle w:val="ListBullet"/>
        <w:spacing w:after="80"/>
      </w:pPr>
      <w:r>
        <w:t>Building coefficient, coverage, kat, yükseklik ve çekmeler</w:t>
      </w:r>
    </w:p>
    <w:p>
      <w:pPr>
        <w:pStyle w:val="ListBullet"/>
        <w:spacing w:after="80"/>
      </w:pPr>
      <w:r>
        <w:t>Arkeolojik alan, UNESCO veya geleneksel yerleşim etkileri</w:t>
      </w:r>
    </w:p>
    <w:p>
      <w:pPr>
        <w:pStyle w:val="ListBullet"/>
        <w:spacing w:after="80"/>
      </w:pPr>
      <w:r>
        <w:t>Kıyı çizgisi ve beach zone sınırlamaları</w:t>
      </w:r>
    </w:p>
    <w:p>
      <w:pPr>
        <w:pStyle w:val="ListBullet"/>
        <w:spacing w:after="80"/>
      </w:pPr>
      <w:r>
        <w:t>Forest map, Natura ve çevresel koruma</w:t>
      </w:r>
    </w:p>
    <w:p>
      <w:pPr>
        <w:pStyle w:val="ListBullet"/>
        <w:spacing w:after="80"/>
      </w:pPr>
      <w:r>
        <w:t>Yolun kamusal niteliği, genişliği ve tapu ile topoğrafik plan uyumu</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 Poleodomia</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https://ypen.gov.gr/chorikos-schediasmos/elegchos-domimenou-perivallontos/e-poleodomia/</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Unified Digital Map</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https://sdigmap.tee.gov.gr/sdmportal/el/gia-polites</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Public planning diagrams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https://ediagrams.ypen.gov.gr/public/</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Hellenic Cadastre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https://www.ktimatologio.gr/</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pen.gov.gr/chorikos-schediasmos/elegchos-domimenou-perivallontos/e-poleodomia/" TargetMode="External"/><Relationship Id="rId10" Type="http://schemas.openxmlformats.org/officeDocument/2006/relationships/hyperlink" Target="https://sdigmap.tee.gov.gr/sdmportal/el/gia-polites" TargetMode="External"/><Relationship Id="rId11" Type="http://schemas.openxmlformats.org/officeDocument/2006/relationships/hyperlink" Target="https://ediagrams.ypen.gov.gr/public/" TargetMode="External"/><Relationship Id="rId12" Type="http://schemas.openxmlformats.org/officeDocument/2006/relationships/hyperlink" Target="https://www.ktimatologio.gr/"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