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Portekiz Şehircilik ve Parsel Ön İnceleme Rehberi</w:t>
      </w:r>
    </w:p>
    <w:p>
      <w:pPr>
        <w:pStyle w:val="Subtitle"/>
      </w:pPr>
      <w:r>
        <w:rPr>
          <w:color w:val="557087"/>
        </w:rPr>
        <w:t>IVI NEOS GLOBAL  Ön Fizibilite ve Koçan Analiz Sistemi</w:t>
      </w:r>
    </w:p>
    <w:p>
      <w:pPr>
        <w:pStyle w:val="SmallMeta"/>
      </w:pPr>
      <w:r>
        <w:t>Hazırlanma tarihi  24 Eylül 2026</w:t>
        <w:br/>
        <w:t>Kullanım  Arsa geliştirme, JV, banka, yatırımcı ve belediye ön görüşmesi</w:t>
      </w:r>
    </w:p>
    <w:p/>
    <w:p>
      <w:r>
        <w:rPr>
          <w:b/>
        </w:rPr>
        <w:t xml:space="preserve">Ana sonuç  </w:t>
      </w:r>
      <w:r>
        <w:t>Portekiz’de temel parsel kararı ilgili Município’nun PDM planından çıkar. PDM haritası ve yönetmeliğine ek olarak PU veya PP, REN, RAN, kıyı, yangın, taşkın ve altyapı kısıtları kontrol edilmelidir.</w:t>
      </w:r>
    </w:p>
    <w:p>
      <w:r>
        <w:rPr>
          <w:b/>
        </w:rPr>
        <w:t xml:space="preserve">Önemli sınır  </w:t>
      </w:r>
      <w:r>
        <w:t>Bu rehber ülke genelinde sabit imar oranı vermez. Kesin sonuç, koçan veya tapu ile koordinatlı site planının ilgili belediye planı, resmî harita ve kurum kayıtlarıyla eşleştirilmesiyle hazırlanır.</w:t>
      </w:r>
    </w:p>
    <w:p>
      <w:pPr>
        <w:pStyle w:val="Heading1"/>
      </w:pPr>
      <w:r>
        <w:t>Planlama sistemi ve yetki sırası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80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Seviye</w:t>
            </w:r>
          </w:p>
        </w:tc>
        <w:tc>
          <w:tcPr>
            <w:tcW w:type="dxa" w:w="799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Kontrol edilecek belge ve kurum</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Ulusal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Arazi ve şehircilik mevzuatı ile ulusal ve sektörel programlar</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Bölgesel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Bölgesel programlar ve özel koruma rejimleri</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Yerel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PDM, Plano de Urbanização, Plano de Pormenor ve belediye düzenlemeleri</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Caderneta predial, certidão, cadastro/BUPi, servitudes ve altyapı erişimi</w:t>
            </w:r>
          </w:p>
        </w:tc>
      </w:tr>
    </w:tbl>
    <w:p>
      <w:pPr>
        <w:spacing w:after="0"/>
      </w:pPr>
    </w:p>
    <w:p>
      <w:r>
        <w:rPr>
          <w:b/>
        </w:rPr>
        <w:t xml:space="preserve">Başlangıç makamı  </w:t>
      </w:r>
      <w:r>
        <w:t>İlgili Câmara Municipal, DGT ve gerektiğinde çevre, kıyı, tarım ve sivil koruma makamları</w:t>
      </w:r>
    </w:p>
    <w:p>
      <w:r>
        <w:rPr>
          <w:b/>
        </w:rPr>
        <w:t xml:space="preserve">Ruhsat yaklaşımı  </w:t>
      </w:r>
      <w:r>
        <w:t>Licenciamento veya comunicação prévia yolu belediye ve proje niteliğine göre doğrulanır.</w:t>
      </w:r>
    </w:p>
    <w:p>
      <w:pPr>
        <w:pStyle w:val="Heading1"/>
      </w:pPr>
      <w:r>
        <w:t>Koçan geldiğinde yapılacak parsel analizi</w:t>
      </w:r>
    </w:p>
    <w:p>
      <w:pPr>
        <w:pStyle w:val="ListBullet"/>
        <w:spacing w:after="80"/>
      </w:pPr>
      <w:r>
        <w:t>Município ve freguesia tespiti</w:t>
      </w:r>
    </w:p>
    <w:p>
      <w:pPr>
        <w:pStyle w:val="ListBullet"/>
        <w:spacing w:after="80"/>
      </w:pPr>
      <w:r>
        <w:t>PDM sınıfı, kategorisi ve yönetmelik maddesi</w:t>
      </w:r>
    </w:p>
    <w:p>
      <w:pPr>
        <w:pStyle w:val="ListBullet"/>
        <w:spacing w:after="80"/>
      </w:pPr>
      <w:r>
        <w:t>Índice de utilização, implantação, cércea ve kat sınırları</w:t>
      </w:r>
    </w:p>
    <w:p>
      <w:pPr>
        <w:pStyle w:val="ListBullet"/>
        <w:spacing w:after="80"/>
      </w:pPr>
      <w:r>
        <w:t>REN ve RAN kapsamı</w:t>
      </w:r>
    </w:p>
    <w:p>
      <w:pPr>
        <w:pStyle w:val="ListBullet"/>
        <w:spacing w:after="80"/>
      </w:pPr>
      <w:r>
        <w:t>Kıyı, yangın, taşkın, ekoloji ve kültürel miras kısıtları</w:t>
      </w:r>
    </w:p>
    <w:p>
      <w:pPr>
        <w:pStyle w:val="ListBullet"/>
        <w:spacing w:after="80"/>
      </w:pPr>
      <w:r>
        <w:t>Loteamento veya parselasyon geçmişi</w:t>
      </w:r>
    </w:p>
    <w:p>
      <w:pPr>
        <w:pStyle w:val="ListBullet"/>
        <w:spacing w:after="80"/>
      </w:pPr>
      <w:r>
        <w:t>Licença veya comunicação prévia yolu ve altyapı kapasitesi</w:t>
      </w:r>
    </w:p>
    <w:p>
      <w:pPr>
        <w:pStyle w:val="Heading1"/>
      </w:pPr>
      <w:r>
        <w:t>Yapılaşma kapasitesi için gerekli veriler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223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Parametre</w:t>
            </w:r>
          </w:p>
        </w:tc>
        <w:tc>
          <w:tcPr>
            <w:tcW w:type="dxa" w:w="756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Nasıl doğrulanır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 alanı</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Tapu veya kadastro belgesindeki net alan ve varsa yol terkinden sonraki alan</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İzinli kullanım</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Konut, turizm, ticaret, karma kullanım, endüstri veya tarım statüsü</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Emsal veya yoğunluk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Toplam hesaplanabilir brüt inşaat alanını belirleyen oran veya yerel eşdeğeri</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Taban oturumu</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Yapının zeminde kaplayabileceği azami alan veya yerel kapsama oranı</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ve yükseklik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kat, saçak, cephe ve toplam yapı yüksekliği sınırları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Çekme mesafeleri</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yan, arka, yol, kıyı ve komşu sınırlardan mesafeler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Otopark ve erişim</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Araç sayısı, yol genişliği, giriş çıkış ve yangın erişimi şartları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Koruma ve risk</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taşkın, orman, arkeoloji, miras, heyelan, deprem ve çevre kısıtları</w:t>
            </w:r>
          </w:p>
        </w:tc>
      </w:tr>
    </w:tbl>
    <w:p>
      <w:pPr>
        <w:spacing w:after="0"/>
      </w:pPr>
    </w:p>
    <w:p>
      <w:pPr>
        <w:pStyle w:val="Heading1"/>
      </w:pPr>
      <w:r>
        <w:t>Ön kapasite hesabı</w:t>
      </w:r>
    </w:p>
    <w:p>
      <w:r>
        <w:t>Parsel alanı ile resmî yoğunluk veya emsal oranı çarpılarak yoğunluk kaynaklı üst sınır hesaplanır. Parsel alanı ile taban oturum oranı çarpılarak azami zemin oturumu bulunur. Zemin oturumu ile izinli kat sayısının çarpımı ikinci bir yapı zarfı verir. Teorik toplam alan, bu iki sınırın düşük olanıdır.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302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Hesap</w:t>
            </w:r>
          </w:p>
        </w:tc>
        <w:tc>
          <w:tcPr>
            <w:tcW w:type="dxa" w:w="67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Formül</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Net parsel alanı × yoğunluk veya emsal</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taban oturumu</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Net parsel alanı × kapsama oranı</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zarfı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taban oturumu × izinli kat</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teorik toplam</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 ile kat zarfından düşük olan</w:t>
            </w:r>
          </w:p>
        </w:tc>
      </w:tr>
    </w:tbl>
    <w:p>
      <w:pPr>
        <w:spacing w:after="0"/>
      </w:pPr>
    </w:p>
    <w:p>
      <w:r>
        <w:t>Yol terkleri, çekmeler, otopark, yangın erişimi, merdiven ve asansör çekirdeği, topografya, koruma kararları ve altyapı kapasitesi bu alanı azaltabilir.</w:t>
      </w:r>
    </w:p>
    <w:p>
      <w:pPr>
        <w:pStyle w:val="Heading1"/>
      </w:pPr>
      <w:r>
        <w:t>İstenecek belgeler</w:t>
      </w:r>
    </w:p>
    <w:p>
      <w:pPr>
        <w:pStyle w:val="ListBullet"/>
        <w:spacing w:after="80"/>
      </w:pPr>
      <w:r>
        <w:t>Tam ve okunabilir koçan, tapu veya title belgesi</w:t>
      </w:r>
    </w:p>
    <w:p>
      <w:pPr>
        <w:pStyle w:val="ListBullet"/>
        <w:spacing w:after="80"/>
      </w:pPr>
      <w:r>
        <w:t>Koordinatlı ölçülü site planı veya topoğrafik plan</w:t>
      </w:r>
    </w:p>
    <w:p>
      <w:pPr>
        <w:pStyle w:val="ListBullet"/>
        <w:spacing w:after="80"/>
      </w:pPr>
      <w:r>
        <w:t>Ada parsel, kadastro veya eşdeğer resmî parsel numarası</w:t>
      </w:r>
    </w:p>
    <w:p>
      <w:pPr>
        <w:pStyle w:val="ListBullet"/>
        <w:spacing w:after="80"/>
      </w:pPr>
      <w:r>
        <w:t>Varsa güncel imar belgesi, planning statement veya belediye yazısı</w:t>
      </w:r>
    </w:p>
    <w:p>
      <w:pPr>
        <w:pStyle w:val="ListBullet"/>
        <w:spacing w:after="80"/>
      </w:pPr>
      <w:r>
        <w:t>Mevcut yapı ruhsatları, onaylı projeler ve kullanım izinleri</w:t>
      </w:r>
    </w:p>
    <w:p>
      <w:pPr>
        <w:pStyle w:val="ListBullet"/>
        <w:spacing w:after="80"/>
      </w:pPr>
      <w:r>
        <w:t>Takyidat, irtifak, ipotek ve yol hakkı bilgileri</w:t>
      </w:r>
    </w:p>
    <w:p>
      <w:pPr>
        <w:pStyle w:val="ListBullet"/>
        <w:spacing w:after="80"/>
      </w:pPr>
      <w:r>
        <w:t>Altyapı bağlantıları, yol cephesi ve güncel arazi fotoğrafları</w:t>
      </w:r>
    </w:p>
    <w:p>
      <w:pPr>
        <w:pStyle w:val="Heading1"/>
      </w:pPr>
      <w:r>
        <w:t>Hazırlanacak koçan sunumu</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00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Bölüm</w:t>
            </w:r>
          </w:p>
        </w:tc>
        <w:tc>
          <w:tcPr>
            <w:tcW w:type="dxa" w:w="878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Sunum içeriği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1</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Arazi kimliği, konum ve uydu görünümü</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2</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Koçandan çıkarılan parsel ve mülkiyet bilgileri; kişisel kimlik verileri gizlenir</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3</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Yetkili kurum, yürürlükteki plan ve imar zonu</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4</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taban, kat, yükseklik ve çekme değerleri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5</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Teorik inşaat alanı ve alternatif proje senaryoları</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6</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Yol, otopark, altyapı, topografya ve erişim</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7</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çevre, miras, taşkın ve diğer riskler</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8</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Eksik belgeler ve resmî doğrulama listesi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9</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Yatırım veya JV önerisi ve sonraki adımlar</w:t>
            </w:r>
          </w:p>
        </w:tc>
      </w:tr>
    </w:tbl>
    <w:p>
      <w:pPr>
        <w:spacing w:after="0"/>
      </w:pPr>
    </w:p>
    <w:p>
      <w:pPr>
        <w:pStyle w:val="Heading1"/>
      </w:pPr>
      <w:r>
        <w:t>Resmî başlangıç kaynakları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Kaynak</w:t>
            </w:r>
          </w:p>
        </w:tc>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Bağlantı</w:t>
            </w:r>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SNIT official system</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9">
              <w:r>
                <w:rPr>
                  <w:color w:val="123F68"/>
                  <w:u w:val="single"/>
                </w:rPr>
                <w:t>https://www.dgterritorio.gov.pt/atividades/ordenamento/snit</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Plans in force</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0">
              <w:r>
                <w:rPr>
                  <w:color w:val="123F68"/>
                  <w:u w:val="single"/>
                </w:rPr>
                <w:t>https://www.gov.pt/servicos/consultar-os-planos-de-ordenamento-do-territorio-em-vigor</w:t>
              </w:r>
            </w:hyperlink>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Land planning legislation</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1">
              <w:r>
                <w:rPr>
                  <w:color w:val="123F68"/>
                  <w:u w:val="single"/>
                </w:rPr>
                <w:t>https://www2.gov.pt/en/servicos/aceder-a-legislacao-de-ordenamento-do-territorio</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BUPi property map</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2">
              <w:r>
                <w:rPr>
                  <w:color w:val="123F68"/>
                  <w:u w:val="single"/>
                </w:rPr>
                <w:t>https://bupi.gov.pt/en</w:t>
              </w:r>
            </w:hyperlink>
          </w:p>
        </w:tc>
      </w:tr>
    </w:tbl>
    <w:p>
      <w:pPr>
        <w:pStyle w:val="Heading1"/>
      </w:pPr>
      <w:r>
        <w:t>Hukuki ve teknik not</w:t>
      </w:r>
    </w:p>
    <w:p>
      <w:r>
        <w:t>Bu belge yatırım ve mimari ön inceleme rehberidir; resmî imar durumu, ruhsat, değerleme veya hukuki görüş değildir. Mevzuat, plan ve harita verileri değişebilir. Parsel bazındaki kararlar ilgili ülkede yetkili mimar, mühendis, planlama uzmanı ve gerektiğinde hukukçu tarafından resmî kurumlardan doğrulanmalıdır.</w:t>
      </w:r>
    </w:p>
    <w:sectPr w:rsidR="00FC693F" w:rsidRPr="0006063C" w:rsidSect="00034616">
      <w:headerReference w:type="default" r:id="rId13"/>
      <w:footerReference w:type="default" r:id="rId14"/>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IVI NEOS GLOBAL  |  Ön inceleme belgesi  |  24 Eylül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Meta"/>
    </w:pPr>
    <w:r>
      <w:t>IVI NEOS GLOBAL   Şehircilik ve Parsel Ön İnceleme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53B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0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eta">
    <w:name w:val="Small Meta"/>
    <w:rPr>
      <w:rFonts w:ascii="Aptos" w:hAnsi="Aptos"/>
      <w:color w:val="55708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dgterritorio.gov.pt/atividades/ordenamento/snit" TargetMode="External"/><Relationship Id="rId10" Type="http://schemas.openxmlformats.org/officeDocument/2006/relationships/hyperlink" Target="https://www.gov.pt/servicos/consultar-os-planos-de-ordenamento-do-territorio-em-vigor" TargetMode="External"/><Relationship Id="rId11" Type="http://schemas.openxmlformats.org/officeDocument/2006/relationships/hyperlink" Target="https://www2.gov.pt/en/servicos/aceder-a-legislacao-de-ordenamento-do-territorio" TargetMode="External"/><Relationship Id="rId12" Type="http://schemas.openxmlformats.org/officeDocument/2006/relationships/hyperlink" Target="https://bupi.gov.pt/en" TargetMode="External"/><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