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Peru Şehircilik ve Parsel Ön İnceleme Rehberi</w:t>
      </w:r>
    </w:p>
    <w:p>
      <w:pPr>
        <w:pStyle w:val="Subtitle"/>
      </w:pPr>
      <w:r>
        <w:rPr>
          <w:color w:val="557087"/>
        </w:rPr>
        <w:t>IVI NEOS GLOBAL  Ön Fizibilite ve Koçan Analiz Sistemi</w:t>
      </w:r>
    </w:p>
    <w:p>
      <w:pPr>
        <w:pStyle w:val="SmallMeta"/>
      </w:pPr>
      <w:r>
        <w:t>Hazırlanma tarihi  24 Eylül 2026</w:t>
        <w:br/>
        <w:t>Kullanım  Arsa geliştirme, JV, banka, yatırımcı ve belediye ön görüşmesi</w:t>
      </w:r>
    </w:p>
    <w:p/>
    <w:p>
      <w:r>
        <w:rPr>
          <w:b/>
        </w:rPr>
        <w:t xml:space="preserve">Ana sonuç  </w:t>
      </w:r>
      <w:r>
        <w:t>Peru’da municipal zoning, urban development plan ve Certificado de Parámetros Urbanísticos y Edificatorios parsel kapasitesinin temelidir. SUNARP title ve municipal cadastre birlikte kontrol edilir.</w:t>
      </w:r>
    </w:p>
    <w:p>
      <w:r>
        <w:rPr>
          <w:b/>
        </w:rPr>
        <w:t xml:space="preserve">Önemli sınır  </w:t>
      </w:r>
      <w:r>
        <w:t>Bu rehber ülke genelinde sabit imar oranı vermez. Kesin sonuç, koçan veya tapu ile koordinatlı site planının ilgili belediye planı, resmî harita ve kurum kayıtlarıyla eşleştirilmesiyle hazırlanır.</w:t>
      </w:r>
    </w:p>
    <w:p>
      <w:pPr>
        <w:pStyle w:val="Heading1"/>
      </w:pPr>
      <w:r>
        <w:t>Planlama sistemi ve yetki sırası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80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Seviye</w:t>
            </w:r>
          </w:p>
        </w:tc>
        <w:tc>
          <w:tcPr>
            <w:tcW w:type="dxa" w:w="799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Kontrol edilecek belge ve kurum</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Ulusal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Ley 29090 ve national urban development regulations</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Bölgesel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Metropolitan, provincial veya district development plans</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Yerel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Zoning, urban parameters ve municipal ordinances</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Partida registral, cadastral plan, habilitación urbana ve services</w:t>
            </w:r>
          </w:p>
        </w:tc>
      </w:tr>
    </w:tbl>
    <w:p>
      <w:pPr>
        <w:spacing w:after="0"/>
      </w:pPr>
    </w:p>
    <w:p>
      <w:r>
        <w:rPr>
          <w:b/>
        </w:rPr>
        <w:t xml:space="preserve">Başlangıç makamı  </w:t>
      </w:r>
      <w:r>
        <w:t>İlgili provincial veya district municipality ve SUNARP</w:t>
      </w:r>
    </w:p>
    <w:p>
      <w:r>
        <w:rPr>
          <w:b/>
        </w:rPr>
        <w:t xml:space="preserve">Ruhsat yaklaşımı  </w:t>
      </w:r>
      <w:r>
        <w:t>Certificado de Parámetros ardından Ley 29090 kapsamındaki licence modality uygulanır.</w:t>
      </w:r>
    </w:p>
    <w:p>
      <w:pPr>
        <w:pStyle w:val="Heading1"/>
      </w:pPr>
      <w:r>
        <w:t>Koçan geldiğinde yapılacak parsel analizi</w:t>
      </w:r>
    </w:p>
    <w:p>
      <w:pPr>
        <w:pStyle w:val="ListBullet"/>
        <w:spacing w:after="80"/>
      </w:pPr>
      <w:r>
        <w:t>Province, district ve municipality tespiti</w:t>
      </w:r>
    </w:p>
    <w:p>
      <w:pPr>
        <w:pStyle w:val="ListBullet"/>
        <w:spacing w:after="80"/>
      </w:pPr>
      <w:r>
        <w:t>Zonificación and compatible uses</w:t>
      </w:r>
    </w:p>
    <w:p>
      <w:pPr>
        <w:pStyle w:val="ListBullet"/>
        <w:spacing w:after="80"/>
      </w:pPr>
      <w:r>
        <w:t>Área libre, altura, density, setbacks and parking</w:t>
      </w:r>
    </w:p>
    <w:p>
      <w:pPr>
        <w:pStyle w:val="ListBullet"/>
        <w:spacing w:after="80"/>
      </w:pPr>
      <w:r>
        <w:t>Urban habilitation and lot conformity</w:t>
      </w:r>
    </w:p>
    <w:p>
      <w:pPr>
        <w:pStyle w:val="ListBullet"/>
        <w:spacing w:after="80"/>
      </w:pPr>
      <w:r>
        <w:t>SUNARP title and municipal cadastre alignment</w:t>
      </w:r>
    </w:p>
    <w:p>
      <w:pPr>
        <w:pStyle w:val="ListBullet"/>
        <w:spacing w:after="80"/>
      </w:pPr>
      <w:r>
        <w:t>Coast, flood, slope, archaeology and risk</w:t>
      </w:r>
    </w:p>
    <w:p>
      <w:pPr>
        <w:pStyle w:val="ListBullet"/>
        <w:spacing w:after="80"/>
      </w:pPr>
      <w:r>
        <w:t>Urban parameters certificate and building licence route</w:t>
      </w:r>
    </w:p>
    <w:p>
      <w:pPr>
        <w:pStyle w:val="Heading1"/>
      </w:pPr>
      <w:r>
        <w:t>Yapılaşma kapasitesi için gerekli veriler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223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Parametre</w:t>
            </w:r>
          </w:p>
        </w:tc>
        <w:tc>
          <w:tcPr>
            <w:tcW w:type="dxa" w:w="756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Nasıl doğrulanır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 alanı</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Tapu veya kadastro belgesindeki net alan ve varsa yol terkinden sonraki alan</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İzinli kullanım</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Konut, turizm, ticaret, karma kullanım, endüstri veya tarım statüsü</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Emsal veya yoğunluk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Toplam hesaplanabilir brüt inşaat alanını belirleyen oran veya yerel eşdeğeri</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Taban oturumu</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Yapının zeminde kaplayabileceği azami alan veya yerel kapsama oranı</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ve yükseklik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kat, saçak, cephe ve toplam yapı yüksekliği sınırları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Çekme mesafeleri</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yan, arka, yol, kıyı ve komşu sınırlardan mesafeler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Otopark ve erişim</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Araç sayısı, yol genişliği, giriş çıkış ve yangın erişimi şartları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Koruma ve risk</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taşkın, orman, arkeoloji, miras, heyelan, deprem ve çevre kısıtları</w:t>
            </w:r>
          </w:p>
        </w:tc>
      </w:tr>
    </w:tbl>
    <w:p>
      <w:pPr>
        <w:spacing w:after="0"/>
      </w:pPr>
    </w:p>
    <w:p>
      <w:pPr>
        <w:pStyle w:val="Heading1"/>
      </w:pPr>
      <w:r>
        <w:t>Ön kapasite hesabı</w:t>
      </w:r>
    </w:p>
    <w:p>
      <w:r>
        <w:t>Parsel alanı ile resmî yoğunluk veya emsal oranı çarpılarak yoğunluk kaynaklı üst sınır hesaplanır. Parsel alanı ile taban oturum oranı çarpılarak azami zemin oturumu bulunur. Zemin oturumu ile izinli kat sayısının çarpımı ikinci bir yapı zarfı verir. Teorik toplam alan, bu iki sınırın düşük olanıdır.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302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Hesap</w:t>
            </w:r>
          </w:p>
        </w:tc>
        <w:tc>
          <w:tcPr>
            <w:tcW w:type="dxa" w:w="67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Formül</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Yoğunluk alanı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yoğunluk veya emsal</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kapsama oranı</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Kat zarfı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 × izinli kat</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teorik toplam</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 ile kat zarfından düşük olan</w:t>
            </w:r>
          </w:p>
        </w:tc>
      </w:tr>
    </w:tbl>
    <w:p>
      <w:pPr>
        <w:spacing w:after="0"/>
      </w:pPr>
    </w:p>
    <w:p>
      <w:r>
        <w:t>Yol terkleri, çekmeler, otopark, yangın erişimi, merdiven ve asansör çekirdeği, topografya, koruma kararları ve altyapı kapasitesi bu alanı azaltabilir.</w:t>
      </w:r>
    </w:p>
    <w:p>
      <w:pPr>
        <w:pStyle w:val="Heading1"/>
      </w:pPr>
      <w:r>
        <w:t>İstenecek belgeler</w:t>
      </w:r>
    </w:p>
    <w:p>
      <w:pPr>
        <w:pStyle w:val="ListBullet"/>
        <w:spacing w:after="80"/>
      </w:pPr>
      <w:r>
        <w:t>Tam ve okunabilir koçan, tapu veya title belgesi</w:t>
      </w:r>
    </w:p>
    <w:p>
      <w:pPr>
        <w:pStyle w:val="ListBullet"/>
        <w:spacing w:after="80"/>
      </w:pPr>
      <w:r>
        <w:t>Koordinatlı ölçülü site planı veya topoğrafik plan</w:t>
      </w:r>
    </w:p>
    <w:p>
      <w:pPr>
        <w:pStyle w:val="ListBullet"/>
        <w:spacing w:after="80"/>
      </w:pPr>
      <w:r>
        <w:t>Ada parsel, kadastro veya eşdeğer resmî parsel numarası</w:t>
      </w:r>
    </w:p>
    <w:p>
      <w:pPr>
        <w:pStyle w:val="ListBullet"/>
        <w:spacing w:after="80"/>
      </w:pPr>
      <w:r>
        <w:t>Varsa güncel imar belgesi, planning statement veya belediye yazısı</w:t>
      </w:r>
    </w:p>
    <w:p>
      <w:pPr>
        <w:pStyle w:val="ListBullet"/>
        <w:spacing w:after="80"/>
      </w:pPr>
      <w:r>
        <w:t>Mevcut yapı ruhsatları, onaylı projeler ve kullanım izinleri</w:t>
      </w:r>
    </w:p>
    <w:p>
      <w:pPr>
        <w:pStyle w:val="ListBullet"/>
        <w:spacing w:after="80"/>
      </w:pPr>
      <w:r>
        <w:t>Takyidat, irtifak, ipotek ve yol hakkı bilgileri</w:t>
      </w:r>
    </w:p>
    <w:p>
      <w:pPr>
        <w:pStyle w:val="ListBullet"/>
        <w:spacing w:after="80"/>
      </w:pPr>
      <w:r>
        <w:t>Altyapı bağlantıları, yol cephesi ve güncel arazi fotoğrafları</w:t>
      </w:r>
    </w:p>
    <w:p>
      <w:pPr>
        <w:pStyle w:val="Heading1"/>
      </w:pPr>
      <w:r>
        <w:t>Hazırlanacak koçan sunumu</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00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Bölüm</w:t>
            </w:r>
          </w:p>
        </w:tc>
        <w:tc>
          <w:tcPr>
            <w:tcW w:type="dxa" w:w="878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Sunum içeriği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1</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Arazi kimliği, konum ve uydu görünümü</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2</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Koçandan çıkarılan parsel ve mülkiyet bilgileri; kişisel kimlik verileri gizlenir</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3</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Yetkili kurum, yürürlükteki plan ve imar zonu</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4</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taban, kat, yükseklik ve çekme değerleri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5</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Teorik inşaat alanı ve alternatif proje senaryoları</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6</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Yol, otopark, altyapı, topografya ve erişim</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7</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çevre, miras, taşkın ve diğer riskler</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8</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Eksik belgeler ve resmî doğrulama listesi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9</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Yatırım veya JV önerisi ve sonraki adımlar</w:t>
            </w:r>
          </w:p>
        </w:tc>
      </w:tr>
    </w:tbl>
    <w:p>
      <w:pPr>
        <w:spacing w:after="0"/>
      </w:pPr>
    </w:p>
    <w:p>
      <w:pPr>
        <w:pStyle w:val="Heading1"/>
      </w:pPr>
      <w:r>
        <w:t>Resmî başlangıç kaynakları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Kaynak</w:t>
            </w:r>
          </w:p>
        </w:tc>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Bağlantı</w:t>
            </w:r>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Ministry of Housing</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9">
              <w:r>
                <w:rPr>
                  <w:color w:val="123F68"/>
                  <w:u w:val="single"/>
                </w:rPr>
                <w:t>https://www.gob.pe/vivienda</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Urban parameters service example</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0">
              <w:r>
                <w:rPr>
                  <w:color w:val="123F68"/>
                  <w:u w:val="single"/>
                </w:rPr>
                <w:t>https://www.gob.pe/14284-municipalidad-distrital-de-asia-solicitar-certificado-de-parametros-urbanisticos-y-edificatorios-en-el-distrito-de-asia</w:t>
              </w:r>
            </w:hyperlink>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SUNARP</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1">
              <w:r>
                <w:rPr>
                  <w:color w:val="123F68"/>
                  <w:u w:val="single"/>
                </w:rPr>
                <w:t>https://www.gob.pe/sunarp</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Building licence information</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2">
              <w:r>
                <w:rPr>
                  <w:color w:val="123F68"/>
                  <w:u w:val="single"/>
                </w:rPr>
                <w:t>https://www.gob.pe/20997-obtener-licencia-de-edificacion-para-proyectos-de-la-modalidad-b</w:t>
              </w:r>
            </w:hyperlink>
          </w:p>
        </w:tc>
      </w:tr>
    </w:tbl>
    <w:p>
      <w:pPr>
        <w:pStyle w:val="Heading1"/>
      </w:pPr>
      <w:r>
        <w:t>Hukuki ve teknik not</w:t>
      </w:r>
    </w:p>
    <w:p>
      <w:r>
        <w:t>Bu belge yatırım ve mimari ön inceleme rehberidir; resmî imar durumu, ruhsat, değerleme veya hukuki görüş değildir. Mevzuat, plan ve harita verileri değişebilir. Parsel bazındaki kararlar ilgili ülkede yetkili mimar, mühendis, planlama uzmanı ve gerektiğinde hukukçu tarafından resmî kurumlardan doğrulanmalıdır.</w:t>
      </w:r>
    </w:p>
    <w:sectPr w:rsidR="00FC693F" w:rsidRPr="0006063C" w:rsidSect="00034616">
      <w:headerReference w:type="default" r:id="rId13"/>
      <w:footerReference w:type="default" r:id="rId14"/>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IVI NEOS GLOBAL  |  Ön inceleme belgesi  |  24 Eylül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Meta"/>
    </w:pPr>
    <w:r>
      <w:t>IVI NEOS GLOBAL   Şehircilik ve Parsel Ön İnceleme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253B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0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eta">
    <w:name w:val="Small Meta"/>
    <w:rPr>
      <w:rFonts w:ascii="Aptos" w:hAnsi="Aptos"/>
      <w:color w:val="55708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gob.pe/vivienda" TargetMode="External"/><Relationship Id="rId10" Type="http://schemas.openxmlformats.org/officeDocument/2006/relationships/hyperlink" Target="https://www.gob.pe/14284-municipalidad-distrital-de-asia-solicitar-certificado-de-parametros-urbanisticos-y-edificatorios-en-el-distrito-de-asia" TargetMode="External"/><Relationship Id="rId11" Type="http://schemas.openxmlformats.org/officeDocument/2006/relationships/hyperlink" Target="https://www.gob.pe/sunarp" TargetMode="External"/><Relationship Id="rId12" Type="http://schemas.openxmlformats.org/officeDocument/2006/relationships/hyperlink" Target="https://www.gob.pe/20997-obtener-licencia-de-edificacion-para-proyectos-de-la-modalidad-b" TargetMode="External"/><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