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Paraguay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Paraguay’da urban development parameters belediye ordinances ve zoning planlardan çıkar. National cadastre kaydı ile municipal account ve ölçülü plan uyumlu olmalıdır.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Territorial, environmental ve property framework</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Departmental ve basin or environmental plans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Municipal zoning, subdivision ve construction ordinances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Finca, padrón, cadastral account, survey, access ve services</w:t>
            </w:r>
          </w:p>
        </w:tc>
      </w:tr>
    </w:tbl>
    <w:p>
      <w:pPr>
        <w:spacing w:after="0"/>
      </w:pPr>
    </w:p>
    <w:p>
      <w:r>
        <w:rPr>
          <w:b/>
        </w:rPr>
        <w:t xml:space="preserve">Başlangıç makamı  </w:t>
      </w:r>
      <w:r>
        <w:t>İlgili Municipalidad, Cadastre Service ve environmental authority</w:t>
      </w:r>
    </w:p>
    <w:p>
      <w:r>
        <w:rPr>
          <w:b/>
        </w:rPr>
        <w:t xml:space="preserve">Ruhsat yaklaşımı  </w:t>
      </w:r>
      <w:r>
        <w:t>Plan approval ve permiso de construcción belediye şartlarına göre alınır.</w:t>
      </w:r>
    </w:p>
    <w:p>
      <w:pPr>
        <w:pStyle w:val="Heading1"/>
      </w:pPr>
      <w:r>
        <w:t>Koçan geldiğinde yapılacak parsel analizi</w:t>
      </w:r>
    </w:p>
    <w:p>
      <w:pPr>
        <w:pStyle w:val="ListBullet"/>
        <w:spacing w:after="80"/>
      </w:pPr>
      <w:r>
        <w:t>Municipalidad ve departamento tespiti</w:t>
      </w:r>
    </w:p>
    <w:p>
      <w:pPr>
        <w:pStyle w:val="ListBullet"/>
        <w:spacing w:after="80"/>
      </w:pPr>
      <w:r>
        <w:t>Zoning and permitted use</w:t>
      </w:r>
    </w:p>
    <w:p>
      <w:pPr>
        <w:pStyle w:val="ListBullet"/>
        <w:spacing w:after="80"/>
      </w:pPr>
      <w:r>
        <w:t>FOS, buildable area, height and setbacks</w:t>
      </w:r>
    </w:p>
    <w:p>
      <w:pPr>
        <w:pStyle w:val="ListBullet"/>
        <w:spacing w:after="80"/>
      </w:pPr>
      <w:r>
        <w:t>Title and cadastral plan alignment</w:t>
      </w:r>
    </w:p>
    <w:p>
      <w:pPr>
        <w:pStyle w:val="ListBullet"/>
        <w:spacing w:after="80"/>
      </w:pPr>
      <w:r>
        <w:t>Flood, river, wetland, forest and environmental constraints</w:t>
      </w:r>
    </w:p>
    <w:p>
      <w:pPr>
        <w:pStyle w:val="ListBullet"/>
        <w:spacing w:after="80"/>
      </w:pPr>
      <w:r>
        <w:t>Street width, subdivision and service obligations</w:t>
      </w:r>
    </w:p>
    <w:p>
      <w:pPr>
        <w:pStyle w:val="ListBullet"/>
        <w:spacing w:after="80"/>
      </w:pPr>
      <w:r>
        <w:t>Municipal approval and construction permit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National Cadastre Service</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https://www.catastro.gov.py/</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Government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https://www.paraguay.gov.py/</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Environment ministry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https://www.mades.gov.py/</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Municipal planning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Municipalidad resmî urban planning portalı</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atastro.gov.py/" TargetMode="External"/><Relationship Id="rId10" Type="http://schemas.openxmlformats.org/officeDocument/2006/relationships/hyperlink" Target="https://www.paraguay.gov.py/" TargetMode="External"/><Relationship Id="rId11" Type="http://schemas.openxmlformats.org/officeDocument/2006/relationships/hyperlink" Target="https://www.mades.gov.py/"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