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Kuzey İrlanda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Kuzey İrlanda’da 11 council yerel planlama ve başvuruların çoğundan sorumludur. SPPS Edition 2, yürürlükteki veya geçiş dönemi development plan ve planning history birlikte incelenir.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Regional Development Strategy ve SPPS Edition 2</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Council Local Development Plan Plan Strategy ve Local Policies Plan</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Geçiş</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Yeni LDP tamamlanana kadar yürürlükte kalan departmental plans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Planning Register, title, access, flood, heritage ve environmental records</w:t>
            </w:r>
          </w:p>
        </w:tc>
      </w:tr>
    </w:tbl>
    <w:p>
      <w:pPr>
        <w:spacing w:after="0"/>
      </w:pPr>
    </w:p>
    <w:p>
      <w:r>
        <w:rPr>
          <w:b/>
        </w:rPr>
        <w:t xml:space="preserve">Başlangıç makamı  </w:t>
      </w:r>
      <w:r>
        <w:t>İlgili council planning department ve gerektiğinde Department for Infrastructure</w:t>
      </w:r>
    </w:p>
    <w:p>
      <w:r>
        <w:rPr>
          <w:b/>
        </w:rPr>
        <w:t xml:space="preserve">Ruhsat yaklaşımı  </w:t>
      </w:r>
      <w:r>
        <w:t>Planning permission ve building control süreçleri ayrı yürütülür.</w:t>
      </w:r>
    </w:p>
    <w:p>
      <w:pPr>
        <w:pStyle w:val="Heading1"/>
      </w:pPr>
      <w:r>
        <w:t>Koçan geldiğinde yapılacak parsel analizi</w:t>
      </w:r>
    </w:p>
    <w:p>
      <w:pPr>
        <w:pStyle w:val="ListBullet"/>
        <w:spacing w:after="80"/>
      </w:pPr>
      <w:r>
        <w:t>Yetkili council ve plan döneminin tespiti</w:t>
      </w:r>
    </w:p>
    <w:p>
      <w:pPr>
        <w:pStyle w:val="ListBullet"/>
        <w:spacing w:after="80"/>
      </w:pPr>
      <w:r>
        <w:t>Zoning, settlement limit ve site allocation</w:t>
      </w:r>
    </w:p>
    <w:p>
      <w:pPr>
        <w:pStyle w:val="ListBullet"/>
        <w:spacing w:after="80"/>
      </w:pPr>
      <w:r>
        <w:t>Use, scale, density, height ve design policies</w:t>
      </w:r>
    </w:p>
    <w:p>
      <w:pPr>
        <w:pStyle w:val="ListBullet"/>
        <w:spacing w:after="80"/>
      </w:pPr>
      <w:r>
        <w:t>Flood, drainage, habitat ve landscape constraints</w:t>
      </w:r>
    </w:p>
    <w:p>
      <w:pPr>
        <w:pStyle w:val="ListBullet"/>
        <w:spacing w:after="80"/>
      </w:pPr>
      <w:r>
        <w:t>Listed building, conservation ve archaeology</w:t>
      </w:r>
    </w:p>
    <w:p>
      <w:pPr>
        <w:pStyle w:val="ListBullet"/>
        <w:spacing w:after="80"/>
      </w:pPr>
      <w:r>
        <w:t>Road access, parking ve visibility splays</w:t>
      </w:r>
    </w:p>
    <w:p>
      <w:pPr>
        <w:pStyle w:val="ListBullet"/>
        <w:spacing w:after="80"/>
      </w:pPr>
      <w:r>
        <w:t>Planning history, enforcement ve developer contributions</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NI planning system</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https://www.infrastructure-ni.gov.uk/articles/ni-planning-system</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New Planning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https://www.infrastructure-ni.gov.uk/articles/new-planning-portal</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policy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https://www.infrastructure-ni.gov.uk/articles/planning-policy</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Departmental development plans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https://www.infrastructure-ni.gov.uk/topics/departmental-development-plans</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infrastructure-ni.gov.uk/articles/ni-planning-system" TargetMode="External"/><Relationship Id="rId10" Type="http://schemas.openxmlformats.org/officeDocument/2006/relationships/hyperlink" Target="https://www.infrastructure-ni.gov.uk/articles/new-planning-portal" TargetMode="External"/><Relationship Id="rId11" Type="http://schemas.openxmlformats.org/officeDocument/2006/relationships/hyperlink" Target="https://www.infrastructure-ni.gov.uk/articles/planning-policy" TargetMode="External"/><Relationship Id="rId12" Type="http://schemas.openxmlformats.org/officeDocument/2006/relationships/hyperlink" Target="https://www.infrastructure-ni.gov.uk/topics/departmental-development-plans"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