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Fas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Fas’ta yetkili Agence Urbaine ve Commune tarafından uygulanan plan d’aménagement, zoning ve ilgili yönetmelik parsel kapasitesini belirler. Tapu, kadastro ve plan belgesinin aynı parseli göstermesi temel şarttır.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Şehircilik, yapı, çevre ve kıyı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Wali veya Province/Préfecture düzeyindeki planlama ve altyapı kararları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SDAU, plan d’aménagement, plan de zonage ve kırsal merkez planları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Titre foncier, plan cadastral, note de renseignements urbanistiques ve servitudes</w:t>
            </w:r>
          </w:p>
        </w:tc>
      </w:tr>
    </w:tbl>
    <w:p>
      <w:pPr>
        <w:spacing w:after="0"/>
      </w:pPr>
    </w:p>
    <w:p>
      <w:r>
        <w:rPr>
          <w:b/>
        </w:rPr>
        <w:t xml:space="preserve">Başlangıç makamı  </w:t>
      </w:r>
      <w:r>
        <w:t>İlgili Agence Urbaine, Commune, ANCFCC ve gerekli bölgesel veya çevresel makamlar</w:t>
      </w:r>
    </w:p>
    <w:p>
      <w:r>
        <w:rPr>
          <w:b/>
        </w:rPr>
        <w:t xml:space="preserve">Ruhsat yaklaşımı  </w:t>
      </w:r>
      <w:r>
        <w:t>Autorisation de construire veya lotir süreci yerel makam ve proje statüsüne göre doğrulanır.</w:t>
      </w:r>
    </w:p>
    <w:p>
      <w:pPr>
        <w:pStyle w:val="Heading1"/>
      </w:pPr>
      <w:r>
        <w:t>Koçan geldiğinde yapılacak parsel analizi</w:t>
      </w:r>
    </w:p>
    <w:p>
      <w:pPr>
        <w:pStyle w:val="ListBullet"/>
        <w:spacing w:after="80"/>
      </w:pPr>
      <w:r>
        <w:t>Yetkili Agence Urbaine ve Commune tespiti</w:t>
      </w:r>
    </w:p>
    <w:p>
      <w:pPr>
        <w:pStyle w:val="ListBullet"/>
        <w:spacing w:after="80"/>
      </w:pPr>
      <w:r>
        <w:t>Plan d’aménagement zonu ve düzenleme maddesi</w:t>
      </w:r>
    </w:p>
    <w:p>
      <w:pPr>
        <w:pStyle w:val="ListBullet"/>
        <w:spacing w:after="80"/>
      </w:pPr>
      <w:r>
        <w:t>COS veya yerel yapılaşma oranı, emprise, hauteur ve retraits</w:t>
      </w:r>
    </w:p>
    <w:p>
      <w:pPr>
        <w:pStyle w:val="ListBullet"/>
        <w:spacing w:after="80"/>
      </w:pPr>
      <w:r>
        <w:t>Note de renseignements urbanistiques temini</w:t>
      </w:r>
    </w:p>
    <w:p>
      <w:pPr>
        <w:pStyle w:val="ListBullet"/>
        <w:spacing w:after="80"/>
      </w:pPr>
      <w:r>
        <w:t>Titre foncier, kadastro alanı ve sınır uyumu</w:t>
      </w:r>
    </w:p>
    <w:p>
      <w:pPr>
        <w:pStyle w:val="ListBullet"/>
        <w:spacing w:after="80"/>
      </w:pPr>
      <w:r>
        <w:t>Kıyı, taşkın, miras, tarım ve çevre kısıtları</w:t>
      </w:r>
    </w:p>
    <w:p>
      <w:pPr>
        <w:pStyle w:val="ListBullet"/>
        <w:spacing w:after="80"/>
      </w:pPr>
      <w:r>
        <w:t>Loti veya proje geliştirmede yol, altyapı ve kamuya terk yükümlülükleri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Ministry 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https://www.mhpv.gov.ma/</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ANCFCC land registry and cadastre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https://www.ancfcc.gov.ma/</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Urban agencies portal and local agency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Agence Urbaine resmî sitesi</w:t>
            </w:r>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Example urban planning documentation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https://aukh.gov.ma/planification-urbaine/</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mhpv.gov.ma/" TargetMode="External"/><Relationship Id="rId10" Type="http://schemas.openxmlformats.org/officeDocument/2006/relationships/hyperlink" Target="https://www.ancfcc.gov.ma/" TargetMode="External"/><Relationship Id="rId11" Type="http://schemas.openxmlformats.org/officeDocument/2006/relationships/hyperlink" Target="https://aukh.gov.ma/planification-urbaine/"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