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Karadağ Şehircilik ve Parsel Ön İnceleme Rehberi</w:t>
      </w:r>
    </w:p>
    <w:p>
      <w:pPr>
        <w:pStyle w:val="Subtitle"/>
      </w:pPr>
      <w:r>
        <w:rPr>
          <w:color w:val="557087"/>
        </w:rPr>
        <w:t>IVI NEOS GLOBAL  Ön Fizibilite ve Koçan Analiz Sistemi</w:t>
      </w:r>
    </w:p>
    <w:p>
      <w:pPr>
        <w:pStyle w:val="SmallMeta"/>
      </w:pPr>
      <w:r>
        <w:t>Hazırlanma tarihi  24 Eylül 2026</w:t>
        <w:br/>
        <w:t>Kullanım  Arsa geliştirme, JV, banka, yatırımcı ve belediye ön görüşmesi</w:t>
      </w:r>
    </w:p>
    <w:p/>
    <w:p>
      <w:r>
        <w:rPr>
          <w:b/>
        </w:rPr>
        <w:t xml:space="preserve">Ana sonuç  </w:t>
      </w:r>
      <w:r>
        <w:t>Karadağ’da yürürlükteki spatial plan, kadastro ve Urban Technical Conditions yatırım kapasitesinin temelidir. 2025 sonrası mevzuat değişiklikleri nedeniyle güncel yetki ve prosedür ayrıca doğrulanmalıdır.</w:t>
      </w:r>
    </w:p>
    <w:p>
      <w:r>
        <w:rPr>
          <w:b/>
        </w:rPr>
        <w:t xml:space="preserve">Önemli sınır  </w:t>
      </w:r>
      <w:r>
        <w:t>Bu rehber ülke genelinde sabit imar oranı vermez. Kesin sonuç, koçan veya tapu ile koordinatlı site planının ilgili belediye planı, resmî harita ve kurum kayıtlarıyla eşleştirilmesiyle hazırlanır.</w:t>
      </w:r>
    </w:p>
    <w:p>
      <w:pPr>
        <w:pStyle w:val="Heading1"/>
      </w:pPr>
      <w:r>
        <w:t>Planlama sistemi ve yetki sırası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80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Seviye</w:t>
            </w:r>
          </w:p>
        </w:tc>
        <w:tc>
          <w:tcPr>
            <w:tcW w:type="dxa" w:w="799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Kontrol edilecek belge ve kurum</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Ulusal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Spatial Planning ve Construction mevzuatı</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Bölgesel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State spatial plans ve özel amaçlı planlar</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Yerel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PUP, DUP, LSL veya yürürlükteki ayrıntılı plan</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List nepokretnosti, cadastral plan, UTU, access ve utilities</w:t>
            </w:r>
          </w:p>
        </w:tc>
      </w:tr>
    </w:tbl>
    <w:p>
      <w:pPr>
        <w:spacing w:after="0"/>
      </w:pPr>
    </w:p>
    <w:p>
      <w:r>
        <w:rPr>
          <w:b/>
        </w:rPr>
        <w:t xml:space="preserve">Başlangıç makamı  </w:t>
      </w:r>
      <w:r>
        <w:t>İlgili municipality, national planning authority ve Cadastre Administration</w:t>
      </w:r>
    </w:p>
    <w:p>
      <w:r>
        <w:rPr>
          <w:b/>
        </w:rPr>
        <w:t xml:space="preserve">Ruhsat yaklaşımı  </w:t>
      </w:r>
      <w:r>
        <w:t>UTU ve güncel building permit yolu yerel lisanslı uzmanla teyit edilir.</w:t>
      </w:r>
    </w:p>
    <w:p>
      <w:pPr>
        <w:pStyle w:val="Heading1"/>
      </w:pPr>
      <w:r>
        <w:t>Koçan geldiğinde yapılacak parsel analizi</w:t>
      </w:r>
    </w:p>
    <w:p>
      <w:pPr>
        <w:pStyle w:val="ListBullet"/>
        <w:spacing w:after="80"/>
      </w:pPr>
      <w:r>
        <w:t>Municipality ve cadastral municipality tespiti</w:t>
      </w:r>
    </w:p>
    <w:p>
      <w:pPr>
        <w:pStyle w:val="ListBullet"/>
        <w:spacing w:after="80"/>
      </w:pPr>
      <w:r>
        <w:t>Yürürlükteki plan adı ve zone</w:t>
      </w:r>
    </w:p>
    <w:p>
      <w:pPr>
        <w:pStyle w:val="ListBullet"/>
        <w:spacing w:after="80"/>
      </w:pPr>
      <w:r>
        <w:t>UTU içindeki index, coverage, floors ve height</w:t>
      </w:r>
    </w:p>
    <w:p>
      <w:pPr>
        <w:pStyle w:val="ListBullet"/>
        <w:spacing w:after="80"/>
      </w:pPr>
      <w:r>
        <w:t>Title, burdens ve cadastral boundary</w:t>
      </w:r>
    </w:p>
    <w:p>
      <w:pPr>
        <w:pStyle w:val="ListBullet"/>
        <w:spacing w:after="80"/>
      </w:pPr>
      <w:r>
        <w:t>Coast, heritage, nature, seismic ve landslide constraints</w:t>
      </w:r>
    </w:p>
    <w:p>
      <w:pPr>
        <w:pStyle w:val="ListBullet"/>
        <w:spacing w:after="80"/>
      </w:pPr>
      <w:r>
        <w:t>Road access ve infrastructure conditions</w:t>
      </w:r>
    </w:p>
    <w:p>
      <w:pPr>
        <w:pStyle w:val="ListBullet"/>
        <w:spacing w:after="80"/>
      </w:pPr>
      <w:r>
        <w:t>Building permit authority ve transition rules</w:t>
      </w:r>
    </w:p>
    <w:p>
      <w:pPr>
        <w:pStyle w:val="Heading1"/>
      </w:pPr>
      <w:r>
        <w:t>Yapılaşma kapasitesi için gerekli veriler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223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Parametre</w:t>
            </w:r>
          </w:p>
        </w:tc>
        <w:tc>
          <w:tcPr>
            <w:tcW w:type="dxa" w:w="756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Nasıl doğrulanır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 alanı</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Tapu veya kadastro belgesindeki net alan ve varsa yol terkinden sonraki alan</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İzinli kullanım</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Konut, turizm, ticaret, karma kullanım, endüstri veya tarım statüsü</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Emsal veya yoğunluk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Toplam hesaplanabilir brüt inşaat alanını belirleyen oran veya yerel eşdeğeri</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Taban oturumu</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Yapının zeminde kaplayabileceği azami alan veya yerel kapsama oranı</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ve yükseklik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kat, saçak, cephe ve toplam yapı yüksekliği sınırları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Çekme mesafeleri</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yan, arka, yol, kıyı ve komşu sınırlardan mesafeler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Otopark ve erişim</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Araç sayısı, yol genişliği, giriş çıkış ve yangın erişimi şartları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Koruma ve risk</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taşkın, orman, arkeoloji, miras, heyelan, deprem ve çevre kısıtları</w:t>
            </w:r>
          </w:p>
        </w:tc>
      </w:tr>
    </w:tbl>
    <w:p>
      <w:pPr>
        <w:spacing w:after="0"/>
      </w:pPr>
    </w:p>
    <w:p>
      <w:pPr>
        <w:pStyle w:val="Heading1"/>
      </w:pPr>
      <w:r>
        <w:t>Ön kapasite hesabı</w:t>
      </w:r>
    </w:p>
    <w:p>
      <w:r>
        <w:t>Parsel alanı ile resmî yoğunluk veya emsal oranı çarpılarak yoğunluk kaynaklı üst sınır hesaplanır. Parsel alanı ile taban oturum oranı çarpılarak azami zemin oturumu bulunur. Zemin oturumu ile izinli kat sayısının çarpımı ikinci bir yapı zarfı verir. Teorik toplam alan, bu iki sınırın düşük olanıdır.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302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keepNext/>
              <w:jc w:val="center"/>
            </w:pPr>
            <w:r>
              <w:rPr>
                <w:b/>
                <w:color w:val="FFFFFF"/>
                <w:sz w:val="18"/>
              </w:rPr>
              <w:t>Hesap</w:t>
            </w:r>
          </w:p>
        </w:tc>
        <w:tc>
          <w:tcPr>
            <w:tcW w:type="dxa" w:w="67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keepNext/>
              <w:jc w:val="center"/>
            </w:pPr>
            <w:r>
              <w:rPr>
                <w:b/>
                <w:color w:val="FFFFFF"/>
                <w:sz w:val="18"/>
              </w:rPr>
              <w:t>Formül</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Yoğunluk alanı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Net parsel alanı × yoğunluk veya emsal</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Azami taban oturumu</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Net parsel alanı × kapsama oranı</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Kat zarfı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Azami taban oturumu × izinli kat</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teorik toplam</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 ile kat zarfından düşük olan</w:t>
            </w:r>
          </w:p>
        </w:tc>
      </w:tr>
    </w:tbl>
    <w:p>
      <w:pPr>
        <w:spacing w:after="0"/>
      </w:pPr>
    </w:p>
    <w:p>
      <w:r>
        <w:t>Yol terkleri, çekmeler, otopark, yangın erişimi, merdiven ve asansör çekirdeği, topografya, koruma kararları ve altyapı kapasitesi bu alanı azaltabilir.</w:t>
      </w:r>
    </w:p>
    <w:p>
      <w:pPr>
        <w:pStyle w:val="Heading1"/>
      </w:pPr>
      <w:r>
        <w:t>İstenecek belgeler</w:t>
      </w:r>
    </w:p>
    <w:p>
      <w:pPr>
        <w:pStyle w:val="ListBullet"/>
        <w:spacing w:after="80"/>
      </w:pPr>
      <w:r>
        <w:t>Tam ve okunabilir koçan, tapu veya title belgesi</w:t>
      </w:r>
    </w:p>
    <w:p>
      <w:pPr>
        <w:pStyle w:val="ListBullet"/>
        <w:spacing w:after="80"/>
      </w:pPr>
      <w:r>
        <w:t>Koordinatlı ölçülü site planı veya topoğrafik plan</w:t>
      </w:r>
    </w:p>
    <w:p>
      <w:pPr>
        <w:pStyle w:val="ListBullet"/>
        <w:spacing w:after="80"/>
      </w:pPr>
      <w:r>
        <w:t>Ada parsel, kadastro veya eşdeğer resmî parsel numarası</w:t>
      </w:r>
    </w:p>
    <w:p>
      <w:pPr>
        <w:pStyle w:val="ListBullet"/>
        <w:spacing w:after="80"/>
      </w:pPr>
      <w:r>
        <w:t>Varsa güncel imar belgesi, planning statement veya belediye yazısı</w:t>
      </w:r>
    </w:p>
    <w:p>
      <w:pPr>
        <w:pStyle w:val="ListBullet"/>
        <w:spacing w:after="80"/>
      </w:pPr>
      <w:r>
        <w:t>Mevcut yapı ruhsatları, onaylı projeler ve kullanım izinleri</w:t>
      </w:r>
    </w:p>
    <w:p>
      <w:pPr>
        <w:pStyle w:val="ListBullet"/>
        <w:spacing w:after="80"/>
      </w:pPr>
      <w:r>
        <w:t>Takyidat, irtifak, ipotek ve yol hakkı bilgileri</w:t>
      </w:r>
    </w:p>
    <w:p>
      <w:pPr>
        <w:pStyle w:val="ListBullet"/>
        <w:spacing w:after="80"/>
      </w:pPr>
      <w:r>
        <w:t>Altyapı bağlantıları, yol cephesi ve güncel arazi fotoğrafları</w:t>
      </w:r>
    </w:p>
    <w:p>
      <w:pPr>
        <w:pStyle w:val="Heading1"/>
      </w:pPr>
      <w:r>
        <w:t>Hazırlanacak koçan sunumu</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00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Bölüm</w:t>
            </w:r>
          </w:p>
        </w:tc>
        <w:tc>
          <w:tcPr>
            <w:tcW w:type="dxa" w:w="878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Sunum içeriği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1</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Arazi kimliği, konum ve uydu görünümü</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2</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Koçandan çıkarılan parsel ve mülkiyet bilgileri; kişisel kimlik verileri gizlenir</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3</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Yetkili kurum, yürürlükteki plan ve imar zonu</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4</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taban, kat, yükseklik ve çekme değerleri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5</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Teorik inşaat alanı ve alternatif proje senaryoları</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6</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Yol, otopark, altyapı, topografya ve erişim</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7</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çevre, miras, taşkın ve diğer riskler</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8</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Eksik belgeler ve resmî doğrulama listesi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9</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Yatırım veya JV önerisi ve sonraki adımlar</w:t>
            </w:r>
          </w:p>
        </w:tc>
      </w:tr>
    </w:tbl>
    <w:p>
      <w:pPr>
        <w:spacing w:after="0"/>
      </w:pPr>
    </w:p>
    <w:p>
      <w:pPr>
        <w:pStyle w:val="Heading1"/>
      </w:pPr>
      <w:r>
        <w:t>Resmî başlangıç kaynakları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Kaynak</w:t>
            </w:r>
          </w:p>
        </w:tc>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Bağlantı</w:t>
            </w:r>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Government spatial planning</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9">
              <w:r>
                <w:rPr>
                  <w:color w:val="123F68"/>
                  <w:u w:val="single"/>
                </w:rPr>
                <w:t>https://www.gov.me/en/article/about-us</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Construction steps</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0">
              <w:r>
                <w:rPr>
                  <w:color w:val="123F68"/>
                  <w:u w:val="single"/>
                </w:rPr>
                <w:t>https://www.gov.me/en/article/196602-what-steps-should-be-taken-to-construct-a-building</w:t>
              </w:r>
            </w:hyperlink>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Cadastre geoportal</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1">
              <w:r>
                <w:rPr>
                  <w:color w:val="123F68"/>
                  <w:u w:val="single"/>
                </w:rPr>
                <w:t>https://www.geoportal.co.me/geoportal/geoportal_eng.html</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Planning legislation</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2">
              <w:r>
                <w:rPr>
                  <w:color w:val="123F68"/>
                  <w:u w:val="single"/>
                </w:rPr>
                <w:t>https://www.gov.me/en/article/law-on-spatial-planning-and-construction-of-structures</w:t>
              </w:r>
            </w:hyperlink>
          </w:p>
        </w:tc>
      </w:tr>
    </w:tbl>
    <w:p>
      <w:pPr>
        <w:pStyle w:val="Heading1"/>
      </w:pPr>
      <w:r>
        <w:t>Hukuki ve teknik not</w:t>
      </w:r>
    </w:p>
    <w:p>
      <w:r>
        <w:t>Bu belge yatırım ve mimari ön inceleme rehberidir; resmî imar durumu, ruhsat, değerleme veya hukuki görüş değildir. Mevzuat, plan ve harita verileri değişebilir. Parsel bazındaki kararlar ilgili ülkede yetkili mimar, mühendis, planlama uzmanı ve gerektiğinde hukukçu tarafından resmî kurumlardan doğrulanmalıdır.</w:t>
      </w:r>
    </w:p>
    <w:sectPr w:rsidR="00FC693F" w:rsidRPr="0006063C" w:rsidSect="00034616">
      <w:headerReference w:type="default" r:id="rId13"/>
      <w:footerReference w:type="default" r:id="rId14"/>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IVI NEOS GLOBAL  |  Ön inceleme belgesi  |  24 Eylül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Meta"/>
    </w:pPr>
    <w:r>
      <w:t>IVI NEOS GLOBAL   Şehircilik ve Parsel Ön İnceleme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color w:val="253B4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ptos Display" w:hAnsi="Aptos Display"/>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200"/>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Meta">
    <w:name w:val="Small Meta"/>
    <w:rPr>
      <w:rFonts w:ascii="Aptos" w:hAnsi="Aptos"/>
      <w:color w:val="557087"/>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gov.me/en/article/about-us" TargetMode="External"/><Relationship Id="rId10" Type="http://schemas.openxmlformats.org/officeDocument/2006/relationships/hyperlink" Target="https://www.gov.me/en/article/196602-what-steps-should-be-taken-to-construct-a-building" TargetMode="External"/><Relationship Id="rId11" Type="http://schemas.openxmlformats.org/officeDocument/2006/relationships/hyperlink" Target="https://www.geoportal.co.me/geoportal/geoportal_eng.html" TargetMode="External"/><Relationship Id="rId12" Type="http://schemas.openxmlformats.org/officeDocument/2006/relationships/hyperlink" Target="https://www.gov.me/en/article/law-on-spatial-planning-and-construction-of-structures" TargetMode="External"/><Relationship Id="rId13"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