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Malta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Malta’da Planning Authority Local Plan, policy maps, DC15 ve parselin planlama geçmişi birlikte değerlendirilir. Kat sayısı tek başına yeterli değildir; cephe ve toplam yükseklik, sokağın niteliği, UCA veya villa alanı gibi özel hükümler önemlidir.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Development planning mevzuatı ve Planning Authority politikaları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Stratejik</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Strategic Plan for Environment and Development ile sektörel politikalar</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Yedi Local Plan alanından ilgili plan, zoning ve policy maps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MapServer planning history, scheduled status, UCA, street ve title/cadastral bilgiler</w:t>
            </w:r>
          </w:p>
        </w:tc>
      </w:tr>
    </w:tbl>
    <w:p>
      <w:pPr>
        <w:spacing w:after="0"/>
      </w:pPr>
    </w:p>
    <w:p>
      <w:r>
        <w:rPr>
          <w:b/>
        </w:rPr>
        <w:t xml:space="preserve">Başlangıç makamı  </w:t>
      </w:r>
      <w:r>
        <w:t>Malta Planning Authority ve gerektiğinde ERA, Transport Malta, heritage ve utilities kurumları</w:t>
      </w:r>
    </w:p>
    <w:p>
      <w:r>
        <w:rPr>
          <w:b/>
        </w:rPr>
        <w:t xml:space="preserve">Ruhsat yaklaşımı  </w:t>
      </w:r>
      <w:r>
        <w:t>Development permission ve teknik onaylar proje niteliğine göre ayrı ayrı kontrol edilir.</w:t>
      </w:r>
    </w:p>
    <w:p>
      <w:pPr>
        <w:pStyle w:val="Heading1"/>
      </w:pPr>
      <w:r>
        <w:t>Koçan geldiğinde yapılacak parsel analizi</w:t>
      </w:r>
    </w:p>
    <w:p>
      <w:pPr>
        <w:pStyle w:val="ListBullet"/>
        <w:spacing w:after="80"/>
      </w:pPr>
      <w:r>
        <w:t>Doğru Local Plan ve policy map zonunun belirlenmesi</w:t>
      </w:r>
    </w:p>
    <w:p>
      <w:pPr>
        <w:pStyle w:val="ListBullet"/>
        <w:spacing w:after="80"/>
      </w:pPr>
      <w:r>
        <w:t>Permitted use, height limitation, floors ve DC15 yorumu</w:t>
      </w:r>
    </w:p>
    <w:p>
      <w:pPr>
        <w:pStyle w:val="ListBullet"/>
        <w:spacing w:after="80"/>
      </w:pPr>
      <w:r>
        <w:t>UCA, villa/bungalow area ve scheduled property kontrolü</w:t>
      </w:r>
    </w:p>
    <w:p>
      <w:pPr>
        <w:pStyle w:val="ListBullet"/>
        <w:spacing w:after="80"/>
      </w:pPr>
      <w:r>
        <w:t>Sanitary, daylight, back yard ve streetscape koşulları</w:t>
      </w:r>
    </w:p>
    <w:p>
      <w:pPr>
        <w:pStyle w:val="ListBullet"/>
        <w:spacing w:after="80"/>
      </w:pPr>
      <w:r>
        <w:t>Parking, access ve Transport Malta görüşü</w:t>
      </w:r>
    </w:p>
    <w:p>
      <w:pPr>
        <w:pStyle w:val="ListBullet"/>
        <w:spacing w:after="80"/>
      </w:pPr>
      <w:r>
        <w:t>ERA çevre, kıyı, groundwater ve habitat sınırlamaları</w:t>
      </w:r>
    </w:p>
    <w:p>
      <w:pPr>
        <w:pStyle w:val="ListBullet"/>
        <w:spacing w:after="80"/>
      </w:pPr>
      <w:r>
        <w:t>Geçmiş izinler, enforcement kayıtları ve komşu emsal kararlar</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Authority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https://www.pa.org.mt/</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PA MapServer</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https://pamapserver.pa.org.mt/</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PA eApplications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https://eapps.pa.org.mt/</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Malta Environment Geoportal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https://meps.eraportal.org.mt/</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a.org.mt/" TargetMode="External"/><Relationship Id="rId10" Type="http://schemas.openxmlformats.org/officeDocument/2006/relationships/hyperlink" Target="https://pamapserver.pa.org.mt/" TargetMode="External"/><Relationship Id="rId11" Type="http://schemas.openxmlformats.org/officeDocument/2006/relationships/hyperlink" Target="https://eapps.pa.org.mt/" TargetMode="External"/><Relationship Id="rId12" Type="http://schemas.openxmlformats.org/officeDocument/2006/relationships/hyperlink" Target="https://meps.eraportal.org.mt/"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