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İtalya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İtalya’da imar koşulları Comune, Regione ve yerel plan adlandırmasına göre değişir. Ulusal yapı mevzuatı, bölgesel arazi yönetimi, belediye planı ve uygulama hükümleri parsel bazında birlikte doğrulanmalıdır.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DPR 380/2001 yapı mevzuatı ve ilgili ulusal sektör mevzuatı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Regione planları, peyzaj, deprem, hidrojeoloji ve kıyı hükümleri</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PRG, PRGC, PGT, PUC veya bölgeye göre kullanılan belediye planı ve NTA hükümleri</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Foglio, particella, destinazione urbanistica, kadastro ve ipotek kayıtları</w:t>
            </w:r>
          </w:p>
        </w:tc>
      </w:tr>
    </w:tbl>
    <w:p>
      <w:pPr>
        <w:spacing w:after="0"/>
      </w:pPr>
    </w:p>
    <w:p>
      <w:r>
        <w:rPr>
          <w:b/>
        </w:rPr>
        <w:t xml:space="preserve">Başlangıç makamı  </w:t>
      </w:r>
      <w:r>
        <w:t>Comune teknik ofisi, ilgili Regione ve gerektiğinde Soprintendenza ile çevre veya havza makamları</w:t>
      </w:r>
    </w:p>
    <w:p>
      <w:r>
        <w:rPr>
          <w:b/>
        </w:rPr>
        <w:t xml:space="preserve">Ruhsat yaklaşımı  </w:t>
      </w:r>
      <w:r>
        <w:t>Permesso di costruire, SCIA/CILA ve diğer prosedürler işin niteliğine göre yerel uzman tarafından belirlenir.</w:t>
      </w:r>
    </w:p>
    <w:p>
      <w:pPr>
        <w:pStyle w:val="Heading1"/>
      </w:pPr>
      <w:r>
        <w:t>Koçan geldiğinde yapılacak parsel analizi</w:t>
      </w:r>
    </w:p>
    <w:p>
      <w:pPr>
        <w:pStyle w:val="ListBullet"/>
        <w:spacing w:after="80"/>
      </w:pPr>
      <w:r>
        <w:t>Comune ve Regione sınırlarının kesinleştirilmesi</w:t>
      </w:r>
    </w:p>
    <w:p>
      <w:pPr>
        <w:pStyle w:val="ListBullet"/>
        <w:spacing w:after="80"/>
      </w:pPr>
      <w:r>
        <w:t>Yürürlükteki plan adı, zona urbanistica ve NTA maddesi</w:t>
      </w:r>
    </w:p>
    <w:p>
      <w:pPr>
        <w:pStyle w:val="ListBullet"/>
        <w:spacing w:after="80"/>
      </w:pPr>
      <w:r>
        <w:t>Indice di edificabilità, rapporto di copertura ve altezza massima</w:t>
      </w:r>
    </w:p>
    <w:p>
      <w:pPr>
        <w:pStyle w:val="ListBullet"/>
        <w:spacing w:after="80"/>
      </w:pPr>
      <w:r>
        <w:t>Certificato di Destinazione Urbanistica temini</w:t>
      </w:r>
    </w:p>
    <w:p>
      <w:pPr>
        <w:pStyle w:val="ListBullet"/>
        <w:spacing w:after="80"/>
      </w:pPr>
      <w:r>
        <w:t>Paesaggistico, storico, archeologico ve vincolo kontrolleri</w:t>
      </w:r>
    </w:p>
    <w:p>
      <w:pPr>
        <w:pStyle w:val="ListBullet"/>
        <w:spacing w:after="80"/>
      </w:pPr>
      <w:r>
        <w:t>Deprem, hidrojeolojik risk, kıyı ve park kısıtları</w:t>
      </w:r>
    </w:p>
    <w:p>
      <w:pPr>
        <w:pStyle w:val="ListBullet"/>
        <w:spacing w:after="80"/>
      </w:pPr>
      <w:r>
        <w:t>Kadastro kaydı ile fiilî durumun uyumu ve mevcut yapıların meşruiyeti</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DPR 380/2001 consolidated text</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https://www.normattiva.it/eli/stato/DECRETO_DEL_PRESIDENTE_DELLA_REPUBBLICA/2001/06/06/380/CONSOLIDATED/</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National geodata 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https://geodati.gov.it/geoportale/</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Agenzia delle Entrate property services</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https://www.agenziaentrate.gov.it/portale/</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ISPRA territorial plans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https://www.isprambiente.gov.it/it/banche-dati/repertorio-dello-stato-di-attuazione-dei-piani-per-il-parco-nei-parchi-nazionali/piani-territoriali-regolatori-paesaggistici</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normattiva.it/eli/stato/DECRETO_DEL_PRESIDENTE_DELLA_REPUBBLICA/2001/06/06/380/CONSOLIDATED/" TargetMode="External"/><Relationship Id="rId10" Type="http://schemas.openxmlformats.org/officeDocument/2006/relationships/hyperlink" Target="https://geodati.gov.it/geoportale/" TargetMode="External"/><Relationship Id="rId11" Type="http://schemas.openxmlformats.org/officeDocument/2006/relationships/hyperlink" Target="https://www.agenziaentrate.gov.it/portale/" TargetMode="External"/><Relationship Id="rId12" Type="http://schemas.openxmlformats.org/officeDocument/2006/relationships/hyperlink" Target="https://www.isprambiente.gov.it/it/banche-dati/repertorio-dello-stato-di-attuazione-dei-piani-per-il-parco-nei-parchi-nazionali/piani-territoriali-regolatori-paesaggistici"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