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İrlanda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İrlanda’da development izni ilgili County veya City Development Plan, zoning map, local area plan ve ulusal planning guidelines üzerinden değerlendirilir. Parselin servis kapasitesi ve planning history kritik önemdedir.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Planning and Development legislation, National Planning Framework ve guidelines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Regional Spatial and Economic Strategy</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County veya City Development Plan, zoning map ve Local Area Plan</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Folio, title map, planning history, services, access, flood ve ecology</w:t>
            </w:r>
          </w:p>
        </w:tc>
      </w:tr>
    </w:tbl>
    <w:p>
      <w:pPr>
        <w:spacing w:after="0"/>
      </w:pPr>
    </w:p>
    <w:p>
      <w:r>
        <w:rPr>
          <w:b/>
        </w:rPr>
        <w:t xml:space="preserve">Başlangıç makamı  </w:t>
      </w:r>
      <w:r>
        <w:t>İlgili County veya City Council, An Bord Pleanála ve gerekli çevre, su ve ulaşım kurumları</w:t>
      </w:r>
    </w:p>
    <w:p>
      <w:r>
        <w:rPr>
          <w:b/>
        </w:rPr>
        <w:t xml:space="preserve">Ruhsat yaklaşımı  </w:t>
      </w:r>
      <w:r>
        <w:t>Planning permission ve building control yükümlülükleri proje tipine göre belirlenir.</w:t>
      </w:r>
    </w:p>
    <w:p>
      <w:pPr>
        <w:pStyle w:val="Heading1"/>
      </w:pPr>
      <w:r>
        <w:t>Koçan geldiğinde yapılacak parsel analizi</w:t>
      </w:r>
    </w:p>
    <w:p>
      <w:pPr>
        <w:pStyle w:val="ListBullet"/>
        <w:spacing w:after="80"/>
      </w:pPr>
      <w:r>
        <w:t>Local authority ve plan döneminin doğrulanması</w:t>
      </w:r>
    </w:p>
    <w:p>
      <w:pPr>
        <w:pStyle w:val="ListBullet"/>
        <w:spacing w:after="80"/>
      </w:pPr>
      <w:r>
        <w:t>Zoning objective ve izinli veya open for consideration kullanımlar</w:t>
      </w:r>
    </w:p>
    <w:p>
      <w:pPr>
        <w:pStyle w:val="ListBullet"/>
        <w:spacing w:after="80"/>
      </w:pPr>
      <w:r>
        <w:t>Plot ratio, site coverage, height ve density standartları</w:t>
      </w:r>
    </w:p>
    <w:p>
      <w:pPr>
        <w:pStyle w:val="ListBullet"/>
        <w:spacing w:after="80"/>
      </w:pPr>
      <w:r>
        <w:t>Part V affordable housing ve development contribution etkileri</w:t>
      </w:r>
    </w:p>
    <w:p>
      <w:pPr>
        <w:pStyle w:val="ListBullet"/>
        <w:spacing w:after="80"/>
      </w:pPr>
      <w:r>
        <w:t>Flood risk, ecology, archaeology ve protected structure</w:t>
      </w:r>
    </w:p>
    <w:p>
      <w:pPr>
        <w:pStyle w:val="ListBullet"/>
        <w:spacing w:after="80"/>
      </w:pPr>
      <w:r>
        <w:t>Water and wastewater connection feasibility</w:t>
      </w:r>
    </w:p>
    <w:p>
      <w:pPr>
        <w:pStyle w:val="ListBullet"/>
        <w:spacing w:after="80"/>
      </w:pPr>
      <w:r>
        <w:t>Road access, sightlines, parking ve public transport</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Department planning policy</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https://www.gov.ie/en/policy-information/7461e4-planning/</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Planning applications 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https://planning.localgov.ie/</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Tailte Éireann</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https://www.tailte.ie/</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EPA maps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https://gis.epa.ie/EPAMaps/</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ov.ie/en/policy-information/7461e4-planning/" TargetMode="External"/><Relationship Id="rId10" Type="http://schemas.openxmlformats.org/officeDocument/2006/relationships/hyperlink" Target="https://planning.localgov.ie/" TargetMode="External"/><Relationship Id="rId11" Type="http://schemas.openxmlformats.org/officeDocument/2006/relationships/hyperlink" Target="https://www.tailte.ie/" TargetMode="External"/><Relationship Id="rId12" Type="http://schemas.openxmlformats.org/officeDocument/2006/relationships/hyperlink" Target="https://gis.epa.ie/EPAMaps/"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