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Yunanistan Şehircilik ve Parsel Ön İnceleme Rehberi</w:t>
      </w:r>
    </w:p>
    <w:p>
      <w:pPr>
        <w:pStyle w:val="Subtitle"/>
      </w:pPr>
      <w:r>
        <w:rPr>
          <w:color w:val="557087"/>
        </w:rPr>
        <w:t>IVI NEOS GLOBAL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Yunanistan’da belediye, plan içi veya plan dışı statü, yerleşim sınırı, resmî FEK kararları ve özel koruma rejimleri yapılaşma hakkını belirler. Ada ve anakara koşulları aynı varsayılmamalıdır.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Ulusal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Spatial planning, building and permit legislation</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Bölgesel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Regional spatial frameworks ve sectoral plans</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Yerel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Local veya Special Urban Plan, town plan, settlement boundaries ve FEK</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KAEK, title, topographic plan, road recognition ve protection layers</w:t>
            </w:r>
          </w:p>
        </w:tc>
      </w:tr>
    </w:tbl>
    <w:p>
      <w:pPr>
        <w:spacing w:after="0"/>
      </w:pPr>
    </w:p>
    <w:p>
      <w:r>
        <w:rPr>
          <w:b/>
        </w:rPr>
        <w:t xml:space="preserve">Başlangıç makamı  </w:t>
      </w:r>
      <w:r>
        <w:t>İlgili Dimos, YDOM, Hellenic Cadastre ve koruma kurumları</w:t>
      </w:r>
    </w:p>
    <w:p>
      <w:r>
        <w:rPr>
          <w:b/>
        </w:rPr>
        <w:t xml:space="preserve">Ruhsat yaklaşımı  </w:t>
      </w:r>
      <w:r>
        <w:t>Ruhsat e Adeies sistemi üzerinden yetkili yerel mühendis tarafından yürütülür.</w:t>
      </w:r>
    </w:p>
    <w:p>
      <w:pPr>
        <w:pStyle w:val="Heading1"/>
      </w:pPr>
      <w:r>
        <w:t>Koçan geldiğinde yapılacak parsel analizi</w:t>
      </w:r>
    </w:p>
    <w:p>
      <w:pPr>
        <w:pStyle w:val="ListBullet"/>
        <w:spacing w:after="80"/>
      </w:pPr>
      <w:r>
        <w:t>Dimos ve Regional Unit belirlenmesi</w:t>
      </w:r>
    </w:p>
    <w:p>
      <w:pPr>
        <w:pStyle w:val="ListBullet"/>
        <w:spacing w:after="80"/>
      </w:pPr>
      <w:r>
        <w:t>Plan içi, yerleşim içi veya plan dışı statü</w:t>
      </w:r>
    </w:p>
    <w:p>
      <w:pPr>
        <w:pStyle w:val="ListBullet"/>
        <w:spacing w:after="80"/>
      </w:pPr>
      <w:r>
        <w:t>Artiotita, road frontage ve buildability koşulları</w:t>
      </w:r>
    </w:p>
    <w:p>
      <w:pPr>
        <w:pStyle w:val="ListBullet"/>
        <w:spacing w:after="80"/>
      </w:pPr>
      <w:r>
        <w:t>Building coefficient, coverage, height ve setbacks</w:t>
      </w:r>
    </w:p>
    <w:p>
      <w:pPr>
        <w:pStyle w:val="ListBullet"/>
        <w:spacing w:after="80"/>
      </w:pPr>
      <w:r>
        <w:t>Forest, Natura, archaeology, coast ve traditional settlement</w:t>
      </w:r>
    </w:p>
    <w:p>
      <w:pPr>
        <w:pStyle w:val="ListBullet"/>
        <w:spacing w:after="80"/>
      </w:pPr>
      <w:r>
        <w:t>KAEK ve topoğrafik koordinat uyumu</w:t>
      </w:r>
    </w:p>
    <w:p>
      <w:pPr>
        <w:pStyle w:val="ListBullet"/>
        <w:spacing w:after="80"/>
      </w:pPr>
      <w:r>
        <w:t>e Adeies ruhsat kategorisi ve kurum görüşleri</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e Poleodomia</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https://ypen.gov.gr/chorikos-schediasmos/elegchos-domimenou-perivallontos/e-poleodomia/</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Unified Digital Map</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https://sdigmap.tee.gov.gr/sdmportal/el/gia-polites</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Public diagrams</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https://ediagrams.ypen.gov.gr/public/</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Hellenic Cadastre</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2">
              <w:r>
                <w:rPr>
                  <w:color w:val="123F68"/>
                  <w:u w:val="single"/>
                </w:rPr>
                <w:t>https://www.ktimatologio.gr/</w:t>
              </w:r>
            </w:hyperlink>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3"/>
      <w:footerReference w:type="default" r:id="rId14"/>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IVI NEOS GLOBAL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IVI NEOS GLOBAL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pen.gov.gr/chorikos-schediasmos/elegchos-domimenou-perivallontos/e-poleodomia/" TargetMode="External"/><Relationship Id="rId10" Type="http://schemas.openxmlformats.org/officeDocument/2006/relationships/hyperlink" Target="https://sdigmap.tee.gov.gr/sdmportal/el/gia-polites" TargetMode="External"/><Relationship Id="rId11" Type="http://schemas.openxmlformats.org/officeDocument/2006/relationships/hyperlink" Target="https://ediagrams.ypen.gov.gr/public/" TargetMode="External"/><Relationship Id="rId12" Type="http://schemas.openxmlformats.org/officeDocument/2006/relationships/hyperlink" Target="https://www.ktimatologio.gr/" TargetMode="External"/><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