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Almanya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Almanya’da federal BauGB ve BauNVO çerçeveyi kurar; kesin hak Gemeinde’nin Flächennutzungsplan ve bağlayıcı Bebauungsplan kararları ile eyalet yapı yönetmeliğinden çıkar.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Federal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Baugesetzbuch, BauNVO ve sektör mevzuatı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Eyalet</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Landesbauordnung, bölgesel plan ve koruma hükümleri</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Belediye</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Flächennutzungsplan, Bebauungsplan ve örtülü imar alanı kuralları</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Grundbuch, Liegenschaftskataster, Baulasten, access ve utilities</w:t>
            </w:r>
          </w:p>
        </w:tc>
      </w:tr>
    </w:tbl>
    <w:p>
      <w:pPr>
        <w:spacing w:after="0"/>
      </w:pPr>
    </w:p>
    <w:p>
      <w:r>
        <w:rPr>
          <w:b/>
        </w:rPr>
        <w:t xml:space="preserve">Başlangıç makamı  </w:t>
      </w:r>
      <w:r>
        <w:t>İlgili Gemeinde Bauamt, Kreis veya şehir yapı makamı ve eyalet kurumları</w:t>
      </w:r>
    </w:p>
    <w:p>
      <w:r>
        <w:rPr>
          <w:b/>
        </w:rPr>
        <w:t xml:space="preserve">Ruhsat yaklaşımı  </w:t>
      </w:r>
      <w:r>
        <w:t>Bauvoranfrage veya Bauantrag, eyalet ve belediye prosedürüne göre doğrulanır.</w:t>
      </w:r>
    </w:p>
    <w:p>
      <w:pPr>
        <w:pStyle w:val="Heading1"/>
      </w:pPr>
      <w:r>
        <w:t>Koçan geldiğinde yapılacak parsel analizi</w:t>
      </w:r>
    </w:p>
    <w:p>
      <w:pPr>
        <w:pStyle w:val="ListBullet"/>
        <w:spacing w:after="80"/>
      </w:pPr>
      <w:r>
        <w:t>Bundesland ve Gemeinde tespiti</w:t>
      </w:r>
    </w:p>
    <w:p>
      <w:pPr>
        <w:pStyle w:val="ListBullet"/>
        <w:spacing w:after="80"/>
      </w:pPr>
      <w:r>
        <w:t>Bebauungsplan kapsamı veya BauGB 34 ve 35 statüsü</w:t>
      </w:r>
    </w:p>
    <w:p>
      <w:pPr>
        <w:pStyle w:val="ListBullet"/>
        <w:spacing w:after="80"/>
      </w:pPr>
      <w:r>
        <w:t>GRZ, GFZ, Bauweise, Geschosse ve Gebäudehöhe</w:t>
      </w:r>
    </w:p>
    <w:p>
      <w:pPr>
        <w:pStyle w:val="ListBullet"/>
        <w:spacing w:after="80"/>
      </w:pPr>
      <w:r>
        <w:t>Baulasten, easements ve title restrictions</w:t>
      </w:r>
    </w:p>
    <w:p>
      <w:pPr>
        <w:pStyle w:val="ListBullet"/>
        <w:spacing w:after="80"/>
      </w:pPr>
      <w:r>
        <w:t>Heritage, nature, flood, noise ve contamination</w:t>
      </w:r>
    </w:p>
    <w:p>
      <w:pPr>
        <w:pStyle w:val="ListBullet"/>
        <w:spacing w:after="80"/>
      </w:pPr>
      <w:r>
        <w:t>Road access, parking ve fire access</w:t>
      </w:r>
    </w:p>
    <w:p>
      <w:pPr>
        <w:pStyle w:val="ListBullet"/>
        <w:spacing w:after="80"/>
      </w:pPr>
      <w:r>
        <w:t>Bauvorbescheid ve Baugenehmigung yolu</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Federal Building Code</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https://www.gesetze-im-internet.de/bbaug/</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Federal ministry planning</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https://www.bmwsb.bund.de/</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German Geoportal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https://www.geoportal.de/</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State and municipal portals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Bundesland ve Gemeinde resmî planlama portalları</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esetze-im-internet.de/bbaug/" TargetMode="External"/><Relationship Id="rId10" Type="http://schemas.openxmlformats.org/officeDocument/2006/relationships/hyperlink" Target="https://www.bmwsb.bund.de/" TargetMode="External"/><Relationship Id="rId11" Type="http://schemas.openxmlformats.org/officeDocument/2006/relationships/hyperlink" Target="https://www.geoportal.de/"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