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Fransa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Fransa’da parsel hakkı ilgili Commune veya intercommunal yapıdaki PLU ya da PLUi, zoning map ve règlement üzerinden çıkar. Cadastre sınırı, servitudes d’utilité publique ve risk planları ayrıca kontrol edilmelidir.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Code de l’urbanisme ve ulusal çevre ve yapı mevzuatı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SRADDET, SCoT ve sektörel koruma kararları</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PLU veya PLUi, zoning, règlement ve OAP</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Cadastre, certificat d’urbanisme, servitudes, risks ve utility access</w:t>
            </w:r>
          </w:p>
        </w:tc>
      </w:tr>
    </w:tbl>
    <w:p>
      <w:pPr>
        <w:spacing w:after="0"/>
      </w:pPr>
    </w:p>
    <w:p>
      <w:r>
        <w:rPr>
          <w:b/>
        </w:rPr>
        <w:t xml:space="preserve">Başlangıç makamı  </w:t>
      </w:r>
      <w:r>
        <w:t>İlgili mairie veya intercommunal planning service ve gerekli prefecture, heritage ve environment kurumları</w:t>
      </w:r>
    </w:p>
    <w:p>
      <w:r>
        <w:rPr>
          <w:b/>
        </w:rPr>
        <w:t xml:space="preserve">Ruhsat yaklaşımı  </w:t>
      </w:r>
      <w:r>
        <w:t>Certificat d’urbanisme, déclaration préalable veya permis de construire yolu proje kapsamına göre belirlenir.</w:t>
      </w:r>
    </w:p>
    <w:p>
      <w:pPr>
        <w:pStyle w:val="Heading1"/>
      </w:pPr>
      <w:r>
        <w:t>Koçan geldiğinde yapılacak parsel analizi</w:t>
      </w:r>
    </w:p>
    <w:p>
      <w:pPr>
        <w:pStyle w:val="ListBullet"/>
        <w:spacing w:after="80"/>
      </w:pPr>
      <w:r>
        <w:t>Commune ve geçerli PLU veya PLUi tespiti</w:t>
      </w:r>
    </w:p>
    <w:p>
      <w:pPr>
        <w:pStyle w:val="ListBullet"/>
        <w:spacing w:after="80"/>
      </w:pPr>
      <w:r>
        <w:t>Zone kodu ve règlement maddeleri</w:t>
      </w:r>
    </w:p>
    <w:p>
      <w:pPr>
        <w:pStyle w:val="ListBullet"/>
        <w:spacing w:after="80"/>
      </w:pPr>
      <w:r>
        <w:t>Emprise au sol, hauteur, recul ve stationnement</w:t>
      </w:r>
    </w:p>
    <w:p>
      <w:pPr>
        <w:pStyle w:val="ListBullet"/>
        <w:spacing w:after="80"/>
      </w:pPr>
      <w:r>
        <w:t>OAP, emplacement réservé ve kamuya terk etkileri</w:t>
      </w:r>
    </w:p>
    <w:p>
      <w:pPr>
        <w:pStyle w:val="ListBullet"/>
        <w:spacing w:after="80"/>
      </w:pPr>
      <w:r>
        <w:t>PPRI flood, coastal, forest fire ve environmental risks</w:t>
      </w:r>
    </w:p>
    <w:p>
      <w:pPr>
        <w:pStyle w:val="ListBullet"/>
        <w:spacing w:after="80"/>
      </w:pPr>
      <w:r>
        <w:t>Historic monument perimeter ve heritage constraints</w:t>
      </w:r>
    </w:p>
    <w:p>
      <w:pPr>
        <w:pStyle w:val="ListBullet"/>
        <w:spacing w:after="80"/>
      </w:pPr>
      <w:r>
        <w:t>Certificat d’urbanisme opérationnel ve service connections</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Géoportail de l’Urbanisme</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https://www.geoportail-urbanisme.gouv.fr/</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Cadastre</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https://www.cadastre.gouv.fr/</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Géorisques</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https://www.georisques.gouv.fr/</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Legifrance Urban Planning Code</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https://www.legifrance.gouv.fr/codes/texte_lc/LEGITEXT000006074075/</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geoportail-urbanisme.gouv.fr/" TargetMode="External"/><Relationship Id="rId10" Type="http://schemas.openxmlformats.org/officeDocument/2006/relationships/hyperlink" Target="https://www.cadastre.gouv.fr/" TargetMode="External"/><Relationship Id="rId11" Type="http://schemas.openxmlformats.org/officeDocument/2006/relationships/hyperlink" Target="https://www.georisques.gouv.fr/" TargetMode="External"/><Relationship Id="rId12" Type="http://schemas.openxmlformats.org/officeDocument/2006/relationships/hyperlink" Target="https://www.legifrance.gouv.fr/codes/texte_lc/LEGITEXT000006074075/"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