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İngiltere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İngiltere’de yapılaşma kararı tek bir ulusal yoğunluk tablosundan çıkmaz. Parselin bağlı olduğu Local Planning Authority, yürürlükteki Local Plan, Policies Map, ulusal politika, varsa mahalle planı ve parsel geçmişi birlikte okunmalıdır.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National Planning Policy Framework ve ulusal planlama uygulama rehberleri</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Londra için London Plan; diğer bölgelerde uygulanabilir stratejik planlama belgeleri</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Local Plan, Policies Map, supplementary planning documents ve design codes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Planning history, title constraints, listed status, conservation area, flood ve highways kayıtları</w:t>
            </w:r>
          </w:p>
        </w:tc>
      </w:tr>
    </w:tbl>
    <w:p>
      <w:pPr>
        <w:spacing w:after="0"/>
      </w:pPr>
    </w:p>
    <w:p>
      <w:r>
        <w:rPr>
          <w:b/>
        </w:rPr>
        <w:t xml:space="preserve">Başlangıç makamı  </w:t>
      </w:r>
      <w:r>
        <w:t>İlgili Local Planning Authority ve gerekli ise county, highways, environment ve heritage birimleri</w:t>
      </w:r>
    </w:p>
    <w:p>
      <w:r>
        <w:rPr>
          <w:b/>
        </w:rPr>
        <w:t xml:space="preserve">Ruhsat yaklaşımı  </w:t>
      </w:r>
      <w:r>
        <w:t>Planning permission, building regulations approval ve projeye göre diğer izinler ayrı değerlendirilir.</w:t>
      </w:r>
    </w:p>
    <w:p>
      <w:pPr>
        <w:pStyle w:val="Heading1"/>
      </w:pPr>
      <w:r>
        <w:t>Koçan geldiğinde yapılacak parsel analizi</w:t>
      </w:r>
    </w:p>
    <w:p>
      <w:pPr>
        <w:pStyle w:val="ListBullet"/>
        <w:spacing w:after="80"/>
      </w:pPr>
      <w:r>
        <w:t>Doğru Local Planning Authority ve parish/ward tespiti</w:t>
      </w:r>
    </w:p>
    <w:p>
      <w:pPr>
        <w:pStyle w:val="ListBullet"/>
        <w:spacing w:after="80"/>
      </w:pPr>
      <w:r>
        <w:t>Adopted ve emerging Local Plan hükümlerinin karşılaştırılması</w:t>
      </w:r>
    </w:p>
    <w:p>
      <w:pPr>
        <w:pStyle w:val="ListBullet"/>
        <w:spacing w:after="80"/>
      </w:pPr>
      <w:r>
        <w:t>Green Belt, conservation area, listed building ve tree protection kontrolleri</w:t>
      </w:r>
    </w:p>
    <w:p>
      <w:pPr>
        <w:pStyle w:val="ListBullet"/>
        <w:spacing w:after="80"/>
      </w:pPr>
      <w:r>
        <w:t>Flood zones, ecology, contamination ve drainage sınırlamaları</w:t>
      </w:r>
    </w:p>
    <w:p>
      <w:pPr>
        <w:pStyle w:val="ListBullet"/>
        <w:spacing w:after="80"/>
      </w:pPr>
      <w:r>
        <w:t>Highways access, visibility splay ve parking standardı</w:t>
      </w:r>
    </w:p>
    <w:p>
      <w:pPr>
        <w:pStyle w:val="ListBullet"/>
        <w:spacing w:after="80"/>
      </w:pPr>
      <w:r>
        <w:t>Community Infrastructure Levy ve Section 106 olasılığı</w:t>
      </w:r>
    </w:p>
    <w:p>
      <w:pPr>
        <w:pStyle w:val="ListBullet"/>
        <w:spacing w:after="80"/>
      </w:pPr>
      <w:r>
        <w:t>Ön başvuru görüşmesi ve planning history incelemesi</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Planning Data for England</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https://www.planning.data.gov.uk/</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Plan making guidance</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https://www.gov.uk/guidance/plan-making</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Planning decision register search</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https://www.gov.uk/search-register-planning-decisions</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MAGIC environmental map</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https://magic.defra.gov.uk/</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planning.data.gov.uk/" TargetMode="External"/><Relationship Id="rId10" Type="http://schemas.openxmlformats.org/officeDocument/2006/relationships/hyperlink" Target="https://www.gov.uk/guidance/plan-making" TargetMode="External"/><Relationship Id="rId11" Type="http://schemas.openxmlformats.org/officeDocument/2006/relationships/hyperlink" Target="https://www.gov.uk/search-register-planning-decisions" TargetMode="External"/><Relationship Id="rId12" Type="http://schemas.openxmlformats.org/officeDocument/2006/relationships/hyperlink" Target="https://magic.defra.gov.uk/"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