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Hırvatistan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Hırvatistan’da ISPU üzerinden national, county, city veya municipal spatial plans ile kadastro verileri eşleştirilir. Parselin building area içinde olması tek başına tüm kapasiteyi göstermez.</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Spatial Planning Act ve national strategy</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County spatial plan ve protected coastal area rules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City veya municipality general ve detailed plans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Katastar, land registry, access, utilities ve permit history</w:t>
            </w:r>
          </w:p>
        </w:tc>
      </w:tr>
    </w:tbl>
    <w:p>
      <w:pPr>
        <w:spacing w:after="0"/>
      </w:pPr>
    </w:p>
    <w:p>
      <w:r>
        <w:rPr>
          <w:b/>
        </w:rPr>
        <w:t xml:space="preserve">Başlangıç makamı  </w:t>
      </w:r>
      <w:r>
        <w:t>İlgili city veya municipality office, county ve Ministry bodies</w:t>
      </w:r>
    </w:p>
    <w:p>
      <w:r>
        <w:rPr>
          <w:b/>
        </w:rPr>
        <w:t xml:space="preserve">Ruhsat yaklaşımı  </w:t>
      </w:r>
      <w:r>
        <w:t>Lokacijska ve građevinska dozvola gerekliliği proje tipine göre teyit edilir.</w:t>
      </w:r>
    </w:p>
    <w:p>
      <w:pPr>
        <w:pStyle w:val="Heading1"/>
      </w:pPr>
      <w:r>
        <w:t>Koçan geldiğinde yapılacak parsel analizi</w:t>
      </w:r>
    </w:p>
    <w:p>
      <w:pPr>
        <w:pStyle w:val="ListBullet"/>
        <w:spacing w:after="80"/>
      </w:pPr>
      <w:r>
        <w:t>Yetkili city veya municipality tespiti</w:t>
      </w:r>
    </w:p>
    <w:p>
      <w:pPr>
        <w:pStyle w:val="ListBullet"/>
        <w:spacing w:after="80"/>
      </w:pPr>
      <w:r>
        <w:t>ISPU plan layer ve land use designation</w:t>
      </w:r>
    </w:p>
    <w:p>
      <w:pPr>
        <w:pStyle w:val="ListBullet"/>
        <w:spacing w:after="80"/>
      </w:pPr>
      <w:r>
        <w:t>Kig, kis, height, floors ve setbacks</w:t>
      </w:r>
    </w:p>
    <w:p>
      <w:pPr>
        <w:pStyle w:val="ListBullet"/>
        <w:spacing w:after="80"/>
      </w:pPr>
      <w:r>
        <w:t>Cadastral ve land registry alignment</w:t>
      </w:r>
    </w:p>
    <w:p>
      <w:pPr>
        <w:pStyle w:val="ListBullet"/>
        <w:spacing w:after="80"/>
      </w:pPr>
      <w:r>
        <w:t>Coastal, heritage, nature, flood ve seismic constraints</w:t>
      </w:r>
    </w:p>
    <w:p>
      <w:pPr>
        <w:pStyle w:val="ListBullet"/>
        <w:spacing w:after="80"/>
      </w:pPr>
      <w:r>
        <w:t>Access, parking ve utility conditions</w:t>
      </w:r>
    </w:p>
    <w:p>
      <w:pPr>
        <w:pStyle w:val="ListBullet"/>
        <w:spacing w:after="80"/>
      </w:pPr>
      <w:r>
        <w:t>Location information ve building permit route</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ISPU 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https://portal-ispu.gov.hr/en</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ISPU information</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https://mpgi.gov.hr/physical-planning-information-system-ispu-8704/8704</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Government PPIS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https://gov.hr/en/physical-planning-information-system-ppis/1252</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Ministry</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https://mpgi.gov.hr/en</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ortal-ispu.gov.hr/en" TargetMode="External"/><Relationship Id="rId10" Type="http://schemas.openxmlformats.org/officeDocument/2006/relationships/hyperlink" Target="https://mpgi.gov.hr/physical-planning-information-system-ispu-8704/8704" TargetMode="External"/><Relationship Id="rId11" Type="http://schemas.openxmlformats.org/officeDocument/2006/relationships/hyperlink" Target="https://gov.hr/en/physical-planning-information-system-ppis/1252" TargetMode="External"/><Relationship Id="rId12" Type="http://schemas.openxmlformats.org/officeDocument/2006/relationships/hyperlink" Target="https://mpgi.gov.hr/en"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