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Girit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Girit’te belediye, yerleşim sınırı ve plan içi veya plan dışı statü yapılaşma hakkını doğrudan etkiler. Kadastro, e Poleodomia, resmî gazete kararları, kıyı, arkeoloji, orman ve Natura katmanları birlikte incelenmelidir.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Yunan mekânsal planlama, yapı ve ruhsat mevzuatı</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Crete Region ve ilgili Regional Unit planları</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Dimos, Local veya Special Urban Plan, yerleşim sınırları ve yayımlanmış FEK kararları</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KAEK, topoğrafik plan, erişim, artiliotita, kıyı ve koruma katmanları</w:t>
            </w:r>
          </w:p>
        </w:tc>
      </w:tr>
    </w:tbl>
    <w:p>
      <w:pPr>
        <w:spacing w:after="0"/>
      </w:pPr>
    </w:p>
    <w:p>
      <w:r>
        <w:rPr>
          <w:b/>
        </w:rPr>
        <w:t xml:space="preserve">Başlangıç makamı  </w:t>
      </w:r>
      <w:r>
        <w:t>İlgili Dimos, YDOM yapı servisi, Hellenic Cadastre ve gerekli koruma makamları</w:t>
      </w:r>
    </w:p>
    <w:p>
      <w:r>
        <w:rPr>
          <w:b/>
        </w:rPr>
        <w:t xml:space="preserve">Ruhsat yaklaşımı  </w:t>
      </w:r>
      <w:r>
        <w:t>e Adeies üzerinden ruhsat süreci yürütülür; yerel mühendis ve yetkili YDOM doğrulaması zorunludur.</w:t>
      </w:r>
    </w:p>
    <w:p>
      <w:pPr>
        <w:pStyle w:val="Heading1"/>
      </w:pPr>
      <w:r>
        <w:t>Koçan geldiğinde yapılacak parsel analizi</w:t>
      </w:r>
    </w:p>
    <w:p>
      <w:pPr>
        <w:pStyle w:val="ListBullet"/>
        <w:spacing w:after="80"/>
      </w:pPr>
      <w:r>
        <w:t>İlgili Dimos ve Regional Unit belirlenmesi</w:t>
      </w:r>
    </w:p>
    <w:p>
      <w:pPr>
        <w:pStyle w:val="ListBullet"/>
        <w:spacing w:after="80"/>
      </w:pPr>
      <w:r>
        <w:t>Plan içi, yerleşim içi veya plan dışı statünün tespiti</w:t>
      </w:r>
    </w:p>
    <w:p>
      <w:pPr>
        <w:pStyle w:val="ListBullet"/>
        <w:spacing w:after="80"/>
      </w:pPr>
      <w:r>
        <w:t>Artiotita ve buildability koşulları ile yol cephesi</w:t>
      </w:r>
    </w:p>
    <w:p>
      <w:pPr>
        <w:pStyle w:val="ListBullet"/>
        <w:spacing w:after="80"/>
      </w:pPr>
      <w:r>
        <w:t>Building coefficient, coverage, height ve boundary distances</w:t>
      </w:r>
    </w:p>
    <w:p>
      <w:pPr>
        <w:pStyle w:val="ListBullet"/>
        <w:spacing w:after="80"/>
      </w:pPr>
      <w:r>
        <w:t>Kıyı çizgisi, beach zone ve denizden mesafe</w:t>
      </w:r>
    </w:p>
    <w:p>
      <w:pPr>
        <w:pStyle w:val="ListBullet"/>
        <w:spacing w:after="80"/>
      </w:pPr>
      <w:r>
        <w:t>Forest map, Natura, archaeology ve traditional settlement kontrolleri</w:t>
      </w:r>
    </w:p>
    <w:p>
      <w:pPr>
        <w:pStyle w:val="ListBullet"/>
        <w:spacing w:after="80"/>
      </w:pPr>
      <w:r>
        <w:t>Topoğrafik koordinatlar ile KAEK ve tapu alanının karşılaştırılması</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e Poleodomia</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https://ypen.gov.gr/chorikos-schediasmos/elegchos-domimenou-perivallontos/e-poleodomia/</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Unified Digital Map</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https://sdigmap.tee.gov.gr/sdmportal/el/gia-polites</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Public planning diagrams</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https://ediagrams.ypen.gov.gr/public/</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Hellenic Cadastre</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https://www.ktimatologio.gr/</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pen.gov.gr/chorikos-schediasmos/elegchos-domimenou-perivallontos/e-poleodomia/" TargetMode="External"/><Relationship Id="rId10" Type="http://schemas.openxmlformats.org/officeDocument/2006/relationships/hyperlink" Target="https://sdigmap.tee.gov.gr/sdmportal/el/gia-polites" TargetMode="External"/><Relationship Id="rId11" Type="http://schemas.openxmlformats.org/officeDocument/2006/relationships/hyperlink" Target="https://ediagrams.ypen.gov.gr/public/" TargetMode="External"/><Relationship Id="rId12" Type="http://schemas.openxmlformats.org/officeDocument/2006/relationships/hyperlink" Target="https://www.ktimatologio.gr/"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