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Şili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Şili’de LGUC, OGUC ve ilgili Plan Regulador parsel koşullarını belirler. Certificado de Informaciones Previas belediyeden alınarak use, constructability, height, density ve public utility impacts doğrulanır.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LGUC ve OGUC</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PRI veya PRM ve regional territorial instruments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 Regulador Comunal, zoning ve local ordinance</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Rol, title, survey, CIP, hazards, access ve services</w:t>
            </w:r>
          </w:p>
        </w:tc>
      </w:tr>
    </w:tbl>
    <w:p>
      <w:pPr>
        <w:spacing w:after="0"/>
      </w:pPr>
    </w:p>
    <w:p>
      <w:r>
        <w:rPr>
          <w:b/>
        </w:rPr>
        <w:t xml:space="preserve">Başlangıç makamı  </w:t>
      </w:r>
      <w:r>
        <w:t>İlgili Dirección de Obras Municipales, MINVU or SEREMI ve risk authorities</w:t>
      </w:r>
    </w:p>
    <w:p>
      <w:r>
        <w:rPr>
          <w:b/>
        </w:rPr>
        <w:t xml:space="preserve">Ruhsat yaklaşımı  </w:t>
      </w:r>
      <w:r>
        <w:t>Certificado de Informaciones Previas ve permiso de edificación belediye sürecinin temelidir.</w:t>
      </w:r>
    </w:p>
    <w:p>
      <w:pPr>
        <w:pStyle w:val="Heading1"/>
      </w:pPr>
      <w:r>
        <w:t>Koçan geldiğinde yapılacak parsel analizi</w:t>
      </w:r>
    </w:p>
    <w:p>
      <w:pPr>
        <w:pStyle w:val="ListBullet"/>
        <w:spacing w:after="80"/>
      </w:pPr>
      <w:r>
        <w:t>Comuna ve Dirección de Obras Municipales tespiti</w:t>
      </w:r>
    </w:p>
    <w:p>
      <w:pPr>
        <w:pStyle w:val="ListBullet"/>
        <w:spacing w:after="80"/>
      </w:pPr>
      <w:r>
        <w:t>Applicable planning instrument and zone</w:t>
      </w:r>
    </w:p>
    <w:p>
      <w:pPr>
        <w:pStyle w:val="ListBullet"/>
        <w:spacing w:after="80"/>
      </w:pPr>
      <w:r>
        <w:t>Constructibilidad, ocupación, density, height and setbacks</w:t>
      </w:r>
    </w:p>
    <w:p>
      <w:pPr>
        <w:pStyle w:val="ListBullet"/>
        <w:spacing w:after="80"/>
      </w:pPr>
      <w:r>
        <w:t>Subdivision, public utility and road widening</w:t>
      </w:r>
    </w:p>
    <w:p>
      <w:pPr>
        <w:pStyle w:val="ListBullet"/>
        <w:spacing w:after="80"/>
      </w:pPr>
      <w:r>
        <w:t>Coast, tsunami, flood, slope, forest and heritage risks</w:t>
      </w:r>
    </w:p>
    <w:p>
      <w:pPr>
        <w:pStyle w:val="ListBullet"/>
        <w:spacing w:after="80"/>
      </w:pPr>
      <w:r>
        <w:t>Title, cadastral role and survey alignment</w:t>
      </w:r>
    </w:p>
    <w:p>
      <w:pPr>
        <w:pStyle w:val="ListBullet"/>
        <w:spacing w:after="80"/>
      </w:pPr>
      <w:r>
        <w:t>CIP and permiso de edificación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MINVU regulatory plans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https://centrodeestudios.minvu.gob.cl/planes-reguladores/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OGUC</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https://www.minvu.gob.cl/elementos-tecnicos/decretos/d-s-n47-1992-ordenanza-general-de-urbanismo-y-construccione/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Building permit forms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https://www.minvu.gob.cl/elementos-tecnicos/formularios/formularios-de-permisos-de-edificacion/</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Territorial planning instruments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https://serviuvalparaiso.minvu.gob.cl/pag-c/instrumentos-de-planificacion-territorial/</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entrodeestudios.minvu.gob.cl/planes-reguladores/" TargetMode="External"/><Relationship Id="rId10" Type="http://schemas.openxmlformats.org/officeDocument/2006/relationships/hyperlink" Target="https://www.minvu.gob.cl/elementos-tecnicos/decretos/d-s-n47-1992-ordenanza-general-de-urbanismo-y-construccione/" TargetMode="External"/><Relationship Id="rId11" Type="http://schemas.openxmlformats.org/officeDocument/2006/relationships/hyperlink" Target="https://www.minvu.gob.cl/elementos-tecnicos/formularios/formularios-de-permisos-de-edificacion/" TargetMode="External"/><Relationship Id="rId12" Type="http://schemas.openxmlformats.org/officeDocument/2006/relationships/hyperlink" Target="https://serviuvalparaiso.minvu.gob.cl/pag-c/instrumentos-de-planificacion-territorial/"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