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Bulgaristan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Bulgaristan’da Spatial Development Act çerçevesinde municipal General ve Detailed Development Plan ile regulated plot statüsü belirleyicidir.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Spatial Development Act ve yapı mevzuatı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Regional ve özel koruma planları</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Belediye</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General Development Plan ve Detailed Development Plan</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Cadastre identifier, UPI status, title, access ve utilities</w:t>
            </w:r>
          </w:p>
        </w:tc>
      </w:tr>
    </w:tbl>
    <w:p>
      <w:pPr>
        <w:spacing w:after="0"/>
      </w:pPr>
    </w:p>
    <w:p>
      <w:r>
        <w:rPr>
          <w:b/>
        </w:rPr>
        <w:t xml:space="preserve">Başlangıç makamı  </w:t>
      </w:r>
      <w:r>
        <w:t>İlgili municipality chief architect, cadastre ve gerekli regional authorities</w:t>
      </w:r>
    </w:p>
    <w:p>
      <w:r>
        <w:rPr>
          <w:b/>
        </w:rPr>
        <w:t xml:space="preserve">Ruhsat yaklaşımı  </w:t>
      </w:r>
      <w:r>
        <w:t>Visa for design ve building permit aşamaları belediye tarafından yürütülür.</w:t>
      </w:r>
    </w:p>
    <w:p>
      <w:pPr>
        <w:pStyle w:val="Heading1"/>
      </w:pPr>
      <w:r>
        <w:t>Koçan geldiğinde yapılacak parsel analizi</w:t>
      </w:r>
    </w:p>
    <w:p>
      <w:pPr>
        <w:pStyle w:val="ListBullet"/>
        <w:spacing w:after="80"/>
      </w:pPr>
      <w:r>
        <w:t>Municipality ve cadastral identifier tespiti</w:t>
      </w:r>
    </w:p>
    <w:p>
      <w:pPr>
        <w:pStyle w:val="ListBullet"/>
        <w:spacing w:after="80"/>
      </w:pPr>
      <w:r>
        <w:t>OUP ve PUP designation</w:t>
      </w:r>
    </w:p>
    <w:p>
      <w:pPr>
        <w:pStyle w:val="ListBullet"/>
        <w:spacing w:after="80"/>
      </w:pPr>
      <w:r>
        <w:t>Intensity, density, height ve setbacks</w:t>
      </w:r>
    </w:p>
    <w:p>
      <w:pPr>
        <w:pStyle w:val="ListBullet"/>
        <w:spacing w:after="80"/>
      </w:pPr>
      <w:r>
        <w:t>UPI regulation ve street alignment</w:t>
      </w:r>
    </w:p>
    <w:p>
      <w:pPr>
        <w:pStyle w:val="ListBullet"/>
        <w:spacing w:after="80"/>
      </w:pPr>
      <w:r>
        <w:t>Black Sea coast, heritage, Natura, flood ve landslide</w:t>
      </w:r>
    </w:p>
    <w:p>
      <w:pPr>
        <w:pStyle w:val="ListBullet"/>
        <w:spacing w:after="80"/>
      </w:pPr>
      <w:r>
        <w:t>Road access ve utility connections</w:t>
      </w:r>
    </w:p>
    <w:p>
      <w:pPr>
        <w:pStyle w:val="ListBullet"/>
        <w:spacing w:after="80"/>
      </w:pPr>
      <w:r>
        <w:t>Visa for design ve building permit process</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Regional Development Ministry</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https://www.mrrb.bg/</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Cadastre portal</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https://kais.cadastre.bg/</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Bulgarian legislation</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https://lex.bg/</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Municipal planning portal</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İlgili belediyenin resmî GIS ve planlama portalı</w:t>
            </w:r>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2"/>
      <w:footerReference w:type="default" r:id="rId13"/>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mrrb.bg/" TargetMode="External"/><Relationship Id="rId10" Type="http://schemas.openxmlformats.org/officeDocument/2006/relationships/hyperlink" Target="https://kais.cadastre.bg/" TargetMode="External"/><Relationship Id="rId11" Type="http://schemas.openxmlformats.org/officeDocument/2006/relationships/hyperlink" Target="https://lex.bg/" TargetMode="External"/><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