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Arjantin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Arjantin’de arazi kullanımı ve yapılaşma kuralları province ve municipio düzeyinde belirlenir. Ulusal programlar çerçeve sağlar ancak FOT, FOS, height ve use yerel code üzerinden doğrulanır.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Territorial development policies ve sector laws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Eyalet</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Provincial land use, environment ve cadastre rules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Municipal urban code, zoning map ve building code</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Título, mensura, nomenclatura catastral, restrictions ve services</w:t>
            </w:r>
          </w:p>
        </w:tc>
      </w:tr>
    </w:tbl>
    <w:p>
      <w:pPr>
        <w:spacing w:after="0"/>
      </w:pPr>
    </w:p>
    <w:p>
      <w:r>
        <w:rPr>
          <w:b/>
        </w:rPr>
        <w:t xml:space="preserve">Başlangıç makamı  </w:t>
      </w:r>
      <w:r>
        <w:t>İlgili province ve municipio planning, cadastre ve environment authorities</w:t>
      </w:r>
    </w:p>
    <w:p>
      <w:r>
        <w:rPr>
          <w:b/>
        </w:rPr>
        <w:t xml:space="preserve">Ruhsat yaklaşımı  </w:t>
      </w:r>
      <w:r>
        <w:t>Prefeasibility, plan approval ve building permit yerel code üzerinden alınır.</w:t>
      </w:r>
    </w:p>
    <w:p>
      <w:pPr>
        <w:pStyle w:val="Heading1"/>
      </w:pPr>
      <w:r>
        <w:t>Koçan geldiğinde yapılacak parsel analizi</w:t>
      </w:r>
    </w:p>
    <w:p>
      <w:pPr>
        <w:pStyle w:val="ListBullet"/>
        <w:spacing w:after="80"/>
      </w:pPr>
      <w:r>
        <w:t>Province ve municipio tespiti</w:t>
      </w:r>
    </w:p>
    <w:p>
      <w:pPr>
        <w:pStyle w:val="ListBullet"/>
        <w:spacing w:after="80"/>
      </w:pPr>
      <w:r>
        <w:t>Land classification and zoning</w:t>
      </w:r>
    </w:p>
    <w:p>
      <w:pPr>
        <w:pStyle w:val="ListBullet"/>
        <w:spacing w:after="80"/>
      </w:pPr>
      <w:r>
        <w:t>FOT, FOS, height, density ve setbacks</w:t>
      </w:r>
    </w:p>
    <w:p>
      <w:pPr>
        <w:pStyle w:val="ListBullet"/>
        <w:spacing w:after="80"/>
      </w:pPr>
      <w:r>
        <w:t>Title, cadastral survey ve boundary alignment</w:t>
      </w:r>
    </w:p>
    <w:p>
      <w:pPr>
        <w:pStyle w:val="ListBullet"/>
        <w:spacing w:after="80"/>
      </w:pPr>
      <w:r>
        <w:t>Flood, coast, forest, heritage ve environmental constraints</w:t>
      </w:r>
    </w:p>
    <w:p>
      <w:pPr>
        <w:pStyle w:val="ListBullet"/>
        <w:spacing w:after="80"/>
      </w:pPr>
      <w:r>
        <w:t>Street, utilities ve subdivision obligations</w:t>
      </w:r>
    </w:p>
    <w:p>
      <w:pPr>
        <w:pStyle w:val="ListBullet"/>
        <w:spacing w:after="80"/>
      </w:pPr>
      <w:r>
        <w:t>Prefeasibility ve building permit route</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Territorial planning programme</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https://www.argentina.gob.ar/habitat/desarrollo-territorial/programa-planificacion-y-ordenamiento-territorial</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National legislation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https://www.argentina.gob.ar/normativa</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Provincial cadastre</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province resmî kadastro portalı</w:t>
            </w:r>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Municipal urban planning</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municipio resmî zoning ve building portalı</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1"/>
      <w:footerReference w:type="default" r:id="rId12"/>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argentina.gob.ar/habitat/desarrollo-territorial/programa-planificacion-y-ordenamiento-territorial" TargetMode="External"/><Relationship Id="rId10" Type="http://schemas.openxmlformats.org/officeDocument/2006/relationships/hyperlink" Target="https://www.argentina.gob.ar/normativa" TargetMode="External"/><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