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Arnavutluk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Arnavutluk’ta national territorial plan, municipal General Local Plan ve e permit records parsel kapasitesini belirler. Kadastro kaydı ve fiziksel sınırların uyumu temel kontroldür.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Territorial planning ve development legislation</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 plan</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General National Territorial Plan ve sector plans</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Municipal General Local Plan ve detailed instruments</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ASHK property record, cadastral map, access ve permit status</w:t>
            </w:r>
          </w:p>
        </w:tc>
      </w:tr>
    </w:tbl>
    <w:p>
      <w:pPr>
        <w:spacing w:after="0"/>
      </w:pPr>
    </w:p>
    <w:p>
      <w:r>
        <w:rPr>
          <w:b/>
        </w:rPr>
        <w:t xml:space="preserve">Başlangıç makamı  </w:t>
      </w:r>
      <w:r>
        <w:t>İlgili municipality, national territorial agencies ve ASHK</w:t>
      </w:r>
    </w:p>
    <w:p>
      <w:r>
        <w:rPr>
          <w:b/>
        </w:rPr>
        <w:t xml:space="preserve">Ruhsat yaklaşımı  </w:t>
      </w:r>
      <w:r>
        <w:t>Development ve construction permit e permit sistemi üzerinden yetkili tasarımcılarla yürütülür.</w:t>
      </w:r>
    </w:p>
    <w:p>
      <w:pPr>
        <w:pStyle w:val="Heading1"/>
      </w:pPr>
      <w:r>
        <w:t>Koçan geldiğinde yapılacak parsel analizi</w:t>
      </w:r>
    </w:p>
    <w:p>
      <w:pPr>
        <w:pStyle w:val="ListBullet"/>
        <w:spacing w:after="80"/>
      </w:pPr>
      <w:r>
        <w:t>Municipality ve cadastral zone tespiti</w:t>
      </w:r>
    </w:p>
    <w:p>
      <w:pPr>
        <w:pStyle w:val="ListBullet"/>
        <w:spacing w:after="80"/>
      </w:pPr>
      <w:r>
        <w:t>Local plan land use designation</w:t>
      </w:r>
    </w:p>
    <w:p>
      <w:pPr>
        <w:pStyle w:val="ListBullet"/>
        <w:spacing w:after="80"/>
      </w:pPr>
      <w:r>
        <w:t>Intensity, coverage, floors, height ve setbacks</w:t>
      </w:r>
    </w:p>
    <w:p>
      <w:pPr>
        <w:pStyle w:val="ListBullet"/>
        <w:spacing w:after="80"/>
      </w:pPr>
      <w:r>
        <w:t>ASHK ownership ve boundary alignment</w:t>
      </w:r>
    </w:p>
    <w:p>
      <w:pPr>
        <w:pStyle w:val="ListBullet"/>
        <w:spacing w:after="80"/>
      </w:pPr>
      <w:r>
        <w:t>Coast, heritage, nature, flood ve seismic constraints</w:t>
      </w:r>
    </w:p>
    <w:p>
      <w:pPr>
        <w:pStyle w:val="ListBullet"/>
        <w:spacing w:after="80"/>
      </w:pPr>
      <w:r>
        <w:t>Road and infrastructure conditions</w:t>
      </w:r>
    </w:p>
    <w:p>
      <w:pPr>
        <w:pStyle w:val="ListBullet"/>
        <w:spacing w:after="80"/>
      </w:pPr>
      <w:r>
        <w:t>e Permit application and authority check</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National Territory Planning Agency</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https://planifikimi.gov.al/</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e Albania services</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https://e-albania.al/</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State Cadastre Agency</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https://www.ashk.gov.al/</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National Territory Development Agency</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2">
              <w:r>
                <w:rPr>
                  <w:color w:val="123F68"/>
                  <w:u w:val="single"/>
                </w:rPr>
                <w:t>https://azht.gov.al/</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3"/>
      <w:footerReference w:type="default" r:id="rId14"/>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lanifikimi.gov.al/" TargetMode="External"/><Relationship Id="rId10" Type="http://schemas.openxmlformats.org/officeDocument/2006/relationships/hyperlink" Target="https://e-albania.al/" TargetMode="External"/><Relationship Id="rId11" Type="http://schemas.openxmlformats.org/officeDocument/2006/relationships/hyperlink" Target="https://www.ashk.gov.al/" TargetMode="External"/><Relationship Id="rId12" Type="http://schemas.openxmlformats.org/officeDocument/2006/relationships/hyperlink" Target="https://azht.gov.al/"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