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Türkiye Şehircilik ve Parsel Ön İnceleme Rehberi</w:t>
      </w:r>
    </w:p>
    <w:p>
      <w:pPr>
        <w:pStyle w:val="Subtitle"/>
      </w:pPr>
      <w:r>
        <w:rPr>
          <w:color w:val="557087"/>
        </w:rPr>
        <w:t>GENCES CONSTRUCTION  Ön Fizibilite ve Koçan Analiz Sistemi</w:t>
      </w:r>
    </w:p>
    <w:p>
      <w:pPr>
        <w:pStyle w:val="SmallMeta"/>
      </w:pPr>
      <w:r>
        <w:t>Hazırlanma tarihi  24 Eylül 2026</w:t>
        <w:br/>
        <w:t>Kullanım  Arsa geliştirme, JV, banka, yatırımcı ve belediye ön görüşmesi</w:t>
      </w:r>
    </w:p>
    <w:p/>
    <w:p>
      <w:r>
        <w:rPr>
          <w:b/>
        </w:rPr>
        <w:t xml:space="preserve">Ana sonuç  </w:t>
      </w:r>
      <w:r>
        <w:t>Türkiye’de yapılaşma hakkı 3194 sayılı İmar Kanunu çerçevesinde, yürürlükteki çevre düzeni, nazım ve uygulama imar planları ile belediye plan notlarından çıkar. Tapu alanı, kadastro geometrisi ve imar uygulaması sonucu oluşacak net parsel birbirinden ayrılmalıdır.</w:t>
      </w:r>
    </w:p>
    <w:p>
      <w:r>
        <w:rPr>
          <w:b/>
        </w:rPr>
        <w:t xml:space="preserve">Önemli sınır  </w:t>
      </w:r>
      <w:r>
        <w:t>Bu rehber ülke genelinde sabit imar oranı vermez. Kesin sonuç, koçan veya tapu ile koordinatlı site planının ilgili belediye planı, resmî harita ve kurum kayıtlarıyla eşleştirilmesiyle hazırlanır.</w:t>
      </w:r>
    </w:p>
    <w:p>
      <w:pPr>
        <w:pStyle w:val="Heading1"/>
      </w:pPr>
      <w:r>
        <w:t>Planlama sistemi ve yetki sırası</w:t>
      </w:r>
    </w:p>
    <w:tbl>
      <w:tblPr>
        <w:tblW w:type="auto" w:w="0"/>
        <w:jc w:val="center"/>
        <w:tblLayout w:type="fixed"/>
        <w:tblLook w:firstColumn="1" w:firstRow="1" w:lastColumn="0" w:lastRow="0" w:noHBand="0" w:noVBand="1" w:val="04A0"/>
      </w:tblPr>
      <w:tblGrid>
        <w:gridCol w:w="4968"/>
        <w:gridCol w:w="4968"/>
      </w:tblGrid>
      <w:tr>
        <w:trPr>
          <w:tblHeader w:val="true"/>
          <w:cantSplit w:val="true"/>
        </w:trPr>
        <w:tc>
          <w:tcPr>
            <w:tcW w:type="dxa" w:w="1800"/>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Seviye</w:t>
            </w:r>
          </w:p>
        </w:tc>
        <w:tc>
          <w:tcPr>
            <w:tcW w:type="dxa" w:w="7992"/>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Kontrol edilecek belge ve kurum</w:t>
            </w:r>
          </w:p>
        </w:tc>
      </w:tr>
      <w:tr>
        <w:trPr>
          <w:cantSplit w:val="true"/>
        </w:trPr>
        <w:tc>
          <w:tcPr>
            <w:tcW w:type="dxa" w:w="1800"/>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Ulusal</w:t>
            </w:r>
          </w:p>
        </w:tc>
        <w:tc>
          <w:tcPr>
            <w:tcW w:type="dxa" w:w="7992"/>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3194 sayılı İmar Kanunu, Mekânsal Planlar Yapım Yönetmeliği ve Planlı Alanlar İmar Yönetmeliği</w:t>
            </w:r>
          </w:p>
        </w:tc>
      </w:tr>
      <w:tr>
        <w:trPr>
          <w:cantSplit w:val="true"/>
        </w:trPr>
        <w:tc>
          <w:tcPr>
            <w:tcW w:type="dxa" w:w="1800"/>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Bölgesel</w:t>
            </w:r>
          </w:p>
        </w:tc>
        <w:tc>
          <w:tcPr>
            <w:tcW w:type="dxa" w:w="7992"/>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Çevre düzeni planı, özel çevre koruma ve sektörel kararlar</w:t>
            </w:r>
          </w:p>
        </w:tc>
      </w:tr>
      <w:tr>
        <w:trPr>
          <w:cantSplit w:val="true"/>
        </w:trPr>
        <w:tc>
          <w:tcPr>
            <w:tcW w:type="dxa" w:w="1800"/>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Yerel</w:t>
            </w:r>
          </w:p>
        </w:tc>
        <w:tc>
          <w:tcPr>
            <w:tcW w:type="dxa" w:w="7992"/>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Nazım ve uygulama imar planı, plan notları ve belediye yönetmelikleri</w:t>
            </w:r>
          </w:p>
        </w:tc>
      </w:tr>
      <w:tr>
        <w:trPr>
          <w:cantSplit w:val="true"/>
        </w:trPr>
        <w:tc>
          <w:tcPr>
            <w:tcW w:type="dxa" w:w="1800"/>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Parsel</w:t>
            </w:r>
          </w:p>
        </w:tc>
        <w:tc>
          <w:tcPr>
            <w:tcW w:type="dxa" w:w="7992"/>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Tapu, çap, aplikasyon krokisi, imar durumu, yol terkleri ve şerhler</w:t>
            </w:r>
          </w:p>
        </w:tc>
      </w:tr>
    </w:tbl>
    <w:p>
      <w:pPr>
        <w:spacing w:after="0"/>
      </w:pPr>
    </w:p>
    <w:p>
      <w:r>
        <w:rPr>
          <w:b/>
        </w:rPr>
        <w:t xml:space="preserve">Başlangıç makamı  </w:t>
      </w:r>
      <w:r>
        <w:t>İlgili belediye, Çevre Şehircilik ve İklim Değişikliği birimleri ile Tapu ve Kadastro kurumları</w:t>
      </w:r>
    </w:p>
    <w:p>
      <w:r>
        <w:rPr>
          <w:b/>
        </w:rPr>
        <w:t xml:space="preserve">Ruhsat yaklaşımı  </w:t>
      </w:r>
      <w:r>
        <w:t>İmar durumu, zemin etüdü, mimari ve mühendislik projeleri üzerinden yapı ruhsatı alınır.</w:t>
      </w:r>
    </w:p>
    <w:p>
      <w:pPr>
        <w:pStyle w:val="Heading1"/>
      </w:pPr>
      <w:r>
        <w:t>Koçan geldiğinde yapılacak parsel analizi</w:t>
      </w:r>
    </w:p>
    <w:p>
      <w:pPr>
        <w:pStyle w:val="ListBullet"/>
        <w:spacing w:after="80"/>
      </w:pPr>
      <w:r>
        <w:t>Yetkili belediye veya il özel idaresinin tespiti</w:t>
      </w:r>
    </w:p>
    <w:p>
      <w:pPr>
        <w:pStyle w:val="ListBullet"/>
        <w:spacing w:after="80"/>
      </w:pPr>
      <w:r>
        <w:t>1/1000 uygulama imar planı fonksiyonu ve plan notları</w:t>
      </w:r>
    </w:p>
    <w:p>
      <w:pPr>
        <w:pStyle w:val="ListBullet"/>
        <w:spacing w:after="80"/>
      </w:pPr>
      <w:r>
        <w:t>Emsal veya KAKS, TAKS, kat, yükseklik ve çekmeler</w:t>
      </w:r>
    </w:p>
    <w:p>
      <w:pPr>
        <w:pStyle w:val="ListBullet"/>
        <w:spacing w:after="80"/>
      </w:pPr>
      <w:r>
        <w:t>İmar uygulaması, DOP, yol veya yeşil alan terki</w:t>
      </w:r>
    </w:p>
    <w:p>
      <w:pPr>
        <w:pStyle w:val="ListBullet"/>
        <w:spacing w:after="80"/>
      </w:pPr>
      <w:r>
        <w:t>Kıyı, sit, orman, tarım, dere ve afet kısıtları</w:t>
      </w:r>
    </w:p>
    <w:p>
      <w:pPr>
        <w:pStyle w:val="ListBullet"/>
        <w:spacing w:after="80"/>
      </w:pPr>
      <w:r>
        <w:t>Tapu alanı ile kadastro ve fiilî durum uyumu</w:t>
      </w:r>
    </w:p>
    <w:p>
      <w:pPr>
        <w:pStyle w:val="ListBullet"/>
        <w:spacing w:after="80"/>
      </w:pPr>
      <w:r>
        <w:t>İmar durumu, aplikasyon ve ruhsat yolunun yazılı teyidi</w:t>
      </w:r>
    </w:p>
    <w:p>
      <w:pPr>
        <w:pStyle w:val="Heading1"/>
      </w:pPr>
      <w:r>
        <w:t>Yapılaşma kapasitesi için gerekli veriler</w:t>
      </w:r>
    </w:p>
    <w:tbl>
      <w:tblPr>
        <w:tblW w:type="auto" w:w="0"/>
        <w:jc w:val="center"/>
        <w:tblLayout w:type="fixed"/>
        <w:tblLook w:firstColumn="1" w:firstRow="1" w:lastColumn="0" w:lastRow="0" w:noHBand="0" w:noVBand="1" w:val="04A0"/>
      </w:tblPr>
      <w:tblGrid>
        <w:gridCol w:w="4968"/>
        <w:gridCol w:w="4968"/>
      </w:tblGrid>
      <w:tr>
        <w:trPr>
          <w:tblHeader w:val="true"/>
          <w:cantSplit w:val="true"/>
        </w:trPr>
        <w:tc>
          <w:tcPr>
            <w:tcW w:type="dxa" w:w="2232"/>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Parametre</w:t>
            </w:r>
          </w:p>
        </w:tc>
        <w:tc>
          <w:tcPr>
            <w:tcW w:type="dxa" w:w="7560"/>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Nasıl doğrulanır</w:t>
            </w:r>
          </w:p>
        </w:tc>
      </w:tr>
      <w:tr>
        <w:trPr>
          <w:cantSplit w:val="true"/>
        </w:trPr>
        <w:tc>
          <w:tcPr>
            <w:tcW w:type="dxa" w:w="2232"/>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Parsel alanı</w:t>
            </w:r>
          </w:p>
        </w:tc>
        <w:tc>
          <w:tcPr>
            <w:tcW w:type="dxa" w:w="7560"/>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Tapu veya kadastro belgesindeki net alan ve varsa yol terkinden sonraki alan</w:t>
            </w:r>
          </w:p>
        </w:tc>
      </w:tr>
      <w:tr>
        <w:trPr>
          <w:cantSplit w:val="true"/>
        </w:trPr>
        <w:tc>
          <w:tcPr>
            <w:tcW w:type="dxa" w:w="2232"/>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İzinli kullanım</w:t>
            </w:r>
          </w:p>
        </w:tc>
        <w:tc>
          <w:tcPr>
            <w:tcW w:type="dxa" w:w="7560"/>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Konut, turizm, ticaret, karma kullanım, endüstri veya tarım statüsü</w:t>
            </w:r>
          </w:p>
        </w:tc>
      </w:tr>
      <w:tr>
        <w:trPr>
          <w:cantSplit w:val="true"/>
        </w:trPr>
        <w:tc>
          <w:tcPr>
            <w:tcW w:type="dxa" w:w="2232"/>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Emsal veya yoğunluk</w:t>
            </w:r>
          </w:p>
        </w:tc>
        <w:tc>
          <w:tcPr>
            <w:tcW w:type="dxa" w:w="7560"/>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Toplam hesaplanabilir brüt inşaat alanını belirleyen oran veya yerel eşdeğeri</w:t>
            </w:r>
          </w:p>
        </w:tc>
      </w:tr>
      <w:tr>
        <w:trPr>
          <w:cantSplit w:val="true"/>
        </w:trPr>
        <w:tc>
          <w:tcPr>
            <w:tcW w:type="dxa" w:w="2232"/>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Taban oturumu</w:t>
            </w:r>
          </w:p>
        </w:tc>
        <w:tc>
          <w:tcPr>
            <w:tcW w:type="dxa" w:w="7560"/>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Yapının zeminde kaplayabileceği azami alan veya yerel kapsama oranı</w:t>
            </w:r>
          </w:p>
        </w:tc>
      </w:tr>
      <w:tr>
        <w:trPr>
          <w:cantSplit w:val="true"/>
        </w:trPr>
        <w:tc>
          <w:tcPr>
            <w:tcW w:type="dxa" w:w="2232"/>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Kat ve yükseklik</w:t>
            </w:r>
          </w:p>
        </w:tc>
        <w:tc>
          <w:tcPr>
            <w:tcW w:type="dxa" w:w="7560"/>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Azami kat, saçak, cephe ve toplam yapı yüksekliği sınırları</w:t>
            </w:r>
          </w:p>
        </w:tc>
      </w:tr>
      <w:tr>
        <w:trPr>
          <w:cantSplit w:val="true"/>
        </w:trPr>
        <w:tc>
          <w:tcPr>
            <w:tcW w:type="dxa" w:w="2232"/>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Çekme mesafeleri</w:t>
            </w:r>
          </w:p>
        </w:tc>
        <w:tc>
          <w:tcPr>
            <w:tcW w:type="dxa" w:w="7560"/>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Ön, yan, arka, yol, kıyı ve komşu sınırlardan mesafeler</w:t>
            </w:r>
          </w:p>
        </w:tc>
      </w:tr>
      <w:tr>
        <w:trPr>
          <w:cantSplit w:val="true"/>
        </w:trPr>
        <w:tc>
          <w:tcPr>
            <w:tcW w:type="dxa" w:w="2232"/>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Otopark ve erişim</w:t>
            </w:r>
          </w:p>
        </w:tc>
        <w:tc>
          <w:tcPr>
            <w:tcW w:type="dxa" w:w="7560"/>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Araç sayısı, yol genişliği, giriş çıkış ve yangın erişimi şartları</w:t>
            </w:r>
          </w:p>
        </w:tc>
      </w:tr>
      <w:tr>
        <w:trPr>
          <w:cantSplit w:val="true"/>
        </w:trPr>
        <w:tc>
          <w:tcPr>
            <w:tcW w:type="dxa" w:w="2232"/>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Koruma ve risk</w:t>
            </w:r>
          </w:p>
        </w:tc>
        <w:tc>
          <w:tcPr>
            <w:tcW w:type="dxa" w:w="7560"/>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Kıyı, taşkın, orman, arkeoloji, miras, heyelan, deprem ve çevre kısıtları</w:t>
            </w:r>
          </w:p>
        </w:tc>
      </w:tr>
    </w:tbl>
    <w:p>
      <w:pPr>
        <w:spacing w:after="0"/>
      </w:pPr>
    </w:p>
    <w:p>
      <w:pPr>
        <w:pStyle w:val="Heading1"/>
      </w:pPr>
      <w:r>
        <w:t>Ön kapasite hesabı</w:t>
      </w:r>
    </w:p>
    <w:p>
      <w:r>
        <w:t>Parsel alanı ile resmî yoğunluk veya emsal oranı çarpılarak yoğunluk kaynaklı üst sınır hesaplanır. Parsel alanı ile taban oturum oranı çarpılarak azami zemin oturumu bulunur. Zemin oturumu ile izinli kat sayısının çarpımı ikinci bir yapı zarfı verir. Teorik toplam alan, bu iki sınırın düşük olanıdır.</w:t>
      </w:r>
    </w:p>
    <w:tbl>
      <w:tblPr>
        <w:tblW w:type="auto" w:w="0"/>
        <w:jc w:val="center"/>
        <w:tblLayout w:type="fixed"/>
        <w:tblLook w:firstColumn="1" w:firstRow="1" w:lastColumn="0" w:lastRow="0" w:noHBand="0" w:noVBand="1" w:val="04A0"/>
      </w:tblPr>
      <w:tblGrid>
        <w:gridCol w:w="4968"/>
        <w:gridCol w:w="4968"/>
      </w:tblGrid>
      <w:tr>
        <w:trPr>
          <w:tblHeader w:val="true"/>
          <w:cantSplit w:val="true"/>
        </w:trPr>
        <w:tc>
          <w:tcPr>
            <w:tcW w:type="dxa" w:w="3024"/>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keepNext/>
              <w:jc w:val="center"/>
            </w:pPr>
            <w:r>
              <w:rPr>
                <w:b/>
                <w:color w:val="FFFFFF"/>
                <w:sz w:val="18"/>
              </w:rPr>
              <w:t>Hesap</w:t>
            </w:r>
          </w:p>
        </w:tc>
        <w:tc>
          <w:tcPr>
            <w:tcW w:type="dxa" w:w="6768"/>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keepNext/>
              <w:jc w:val="center"/>
            </w:pPr>
            <w:r>
              <w:rPr>
                <w:b/>
                <w:color w:val="FFFFFF"/>
                <w:sz w:val="18"/>
              </w:rPr>
              <w:t>Formül</w:t>
            </w:r>
          </w:p>
        </w:tc>
      </w:tr>
      <w:tr>
        <w:trPr>
          <w:cantSplit w:val="true"/>
        </w:trPr>
        <w:tc>
          <w:tcPr>
            <w:tcW w:type="dxa" w:w="3024"/>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keepNext/>
              <w:spacing w:after="0"/>
            </w:pPr>
            <w:r>
              <w:rPr>
                <w:sz w:val="18"/>
              </w:rPr>
              <w:t>Yoğunluk alanı</w:t>
            </w:r>
          </w:p>
        </w:tc>
        <w:tc>
          <w:tcPr>
            <w:tcW w:type="dxa" w:w="676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keepNext/>
              <w:spacing w:after="0"/>
            </w:pPr>
            <w:r>
              <w:rPr>
                <w:sz w:val="18"/>
              </w:rPr>
              <w:t>Net parsel alanı × yoğunluk veya emsal</w:t>
            </w:r>
          </w:p>
        </w:tc>
      </w:tr>
      <w:tr>
        <w:trPr>
          <w:cantSplit w:val="true"/>
        </w:trPr>
        <w:tc>
          <w:tcPr>
            <w:tcW w:type="dxa" w:w="3024"/>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keepNext/>
              <w:spacing w:after="0"/>
            </w:pPr>
            <w:r>
              <w:rPr>
                <w:sz w:val="18"/>
              </w:rPr>
              <w:t>Azami taban oturumu</w:t>
            </w:r>
          </w:p>
        </w:tc>
        <w:tc>
          <w:tcPr>
            <w:tcW w:type="dxa" w:w="676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keepNext/>
              <w:spacing w:after="0"/>
            </w:pPr>
            <w:r>
              <w:rPr>
                <w:sz w:val="18"/>
              </w:rPr>
              <w:t>Net parsel alanı × kapsama oranı</w:t>
            </w:r>
          </w:p>
        </w:tc>
      </w:tr>
      <w:tr>
        <w:trPr>
          <w:cantSplit w:val="true"/>
        </w:trPr>
        <w:tc>
          <w:tcPr>
            <w:tcW w:type="dxa" w:w="3024"/>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keepNext/>
              <w:spacing w:after="0"/>
            </w:pPr>
            <w:r>
              <w:rPr>
                <w:sz w:val="18"/>
              </w:rPr>
              <w:t>Kat zarfı</w:t>
            </w:r>
          </w:p>
        </w:tc>
        <w:tc>
          <w:tcPr>
            <w:tcW w:type="dxa" w:w="676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keepNext/>
              <w:spacing w:after="0"/>
            </w:pPr>
            <w:r>
              <w:rPr>
                <w:sz w:val="18"/>
              </w:rPr>
              <w:t>Azami taban oturumu × izinli kat</w:t>
            </w:r>
          </w:p>
        </w:tc>
      </w:tr>
      <w:tr>
        <w:trPr>
          <w:cantSplit w:val="true"/>
        </w:trPr>
        <w:tc>
          <w:tcPr>
            <w:tcW w:type="dxa" w:w="3024"/>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Ön teorik toplam</w:t>
            </w:r>
          </w:p>
        </w:tc>
        <w:tc>
          <w:tcPr>
            <w:tcW w:type="dxa" w:w="676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Yoğunluk alanı ile kat zarfından düşük olan</w:t>
            </w:r>
          </w:p>
        </w:tc>
      </w:tr>
    </w:tbl>
    <w:p>
      <w:pPr>
        <w:spacing w:after="0"/>
      </w:pPr>
    </w:p>
    <w:p>
      <w:r>
        <w:t>Yol terkleri, çekmeler, otopark, yangın erişimi, merdiven ve asansör çekirdeği, topografya, koruma kararları ve altyapı kapasitesi bu alanı azaltabilir.</w:t>
      </w:r>
    </w:p>
    <w:p>
      <w:pPr>
        <w:pStyle w:val="Heading1"/>
      </w:pPr>
      <w:r>
        <w:t>İstenecek belgeler</w:t>
      </w:r>
    </w:p>
    <w:p>
      <w:pPr>
        <w:pStyle w:val="ListBullet"/>
        <w:spacing w:after="80"/>
      </w:pPr>
      <w:r>
        <w:t>Tam ve okunabilir koçan, tapu veya title belgesi</w:t>
      </w:r>
    </w:p>
    <w:p>
      <w:pPr>
        <w:pStyle w:val="ListBullet"/>
        <w:spacing w:after="80"/>
      </w:pPr>
      <w:r>
        <w:t>Koordinatlı ölçülü site planı veya topoğrafik plan</w:t>
      </w:r>
    </w:p>
    <w:p>
      <w:pPr>
        <w:pStyle w:val="ListBullet"/>
        <w:spacing w:after="80"/>
      </w:pPr>
      <w:r>
        <w:t>Ada parsel, kadastro veya eşdeğer resmî parsel numarası</w:t>
      </w:r>
    </w:p>
    <w:p>
      <w:pPr>
        <w:pStyle w:val="ListBullet"/>
        <w:spacing w:after="80"/>
      </w:pPr>
      <w:r>
        <w:t>Varsa güncel imar belgesi, planning statement veya belediye yazısı</w:t>
      </w:r>
    </w:p>
    <w:p>
      <w:pPr>
        <w:pStyle w:val="ListBullet"/>
        <w:spacing w:after="80"/>
      </w:pPr>
      <w:r>
        <w:t>Mevcut yapı ruhsatları, onaylı projeler ve kullanım izinleri</w:t>
      </w:r>
    </w:p>
    <w:p>
      <w:pPr>
        <w:pStyle w:val="ListBullet"/>
        <w:spacing w:after="80"/>
      </w:pPr>
      <w:r>
        <w:t>Takyidat, irtifak, ipotek ve yol hakkı bilgileri</w:t>
      </w:r>
    </w:p>
    <w:p>
      <w:pPr>
        <w:pStyle w:val="ListBullet"/>
        <w:spacing w:after="80"/>
      </w:pPr>
      <w:r>
        <w:t>Altyapı bağlantıları, yol cephesi ve güncel arazi fotoğrafları</w:t>
      </w:r>
    </w:p>
    <w:p>
      <w:pPr>
        <w:pStyle w:val="Heading1"/>
      </w:pPr>
      <w:r>
        <w:t>Hazırlanacak koçan sunumu</w:t>
      </w:r>
    </w:p>
    <w:tbl>
      <w:tblPr>
        <w:tblW w:type="auto" w:w="0"/>
        <w:jc w:val="center"/>
        <w:tblLayout w:type="fixed"/>
        <w:tblLook w:firstColumn="1" w:firstRow="1" w:lastColumn="0" w:lastRow="0" w:noHBand="0" w:noVBand="1" w:val="04A0"/>
      </w:tblPr>
      <w:tblGrid>
        <w:gridCol w:w="4968"/>
        <w:gridCol w:w="4968"/>
      </w:tblGrid>
      <w:tr>
        <w:trPr>
          <w:tblHeader w:val="true"/>
          <w:cantSplit w:val="true"/>
        </w:trPr>
        <w:tc>
          <w:tcPr>
            <w:tcW w:type="dxa" w:w="1008"/>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Bölüm</w:t>
            </w:r>
          </w:p>
        </w:tc>
        <w:tc>
          <w:tcPr>
            <w:tcW w:type="dxa" w:w="8784"/>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Sunum içeriği</w:t>
            </w:r>
          </w:p>
        </w:tc>
      </w:tr>
      <w:tr>
        <w:trPr>
          <w:cantSplit w:val="true"/>
        </w:trPr>
        <w:tc>
          <w:tcPr>
            <w:tcW w:type="dxa" w:w="100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1</w:t>
            </w:r>
          </w:p>
        </w:tc>
        <w:tc>
          <w:tcPr>
            <w:tcW w:type="dxa" w:w="8784"/>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Arazi kimliği, konum ve uydu görünümü</w:t>
            </w:r>
          </w:p>
        </w:tc>
      </w:tr>
      <w:tr>
        <w:trPr>
          <w:cantSplit w:val="true"/>
        </w:trPr>
        <w:tc>
          <w:tcPr>
            <w:tcW w:type="dxa" w:w="100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2</w:t>
            </w:r>
          </w:p>
        </w:tc>
        <w:tc>
          <w:tcPr>
            <w:tcW w:type="dxa" w:w="8784"/>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Koçandan çıkarılan parsel ve mülkiyet bilgileri; kişisel kimlik verileri gizlenir</w:t>
            </w:r>
          </w:p>
        </w:tc>
      </w:tr>
      <w:tr>
        <w:trPr>
          <w:cantSplit w:val="true"/>
        </w:trPr>
        <w:tc>
          <w:tcPr>
            <w:tcW w:type="dxa" w:w="100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3</w:t>
            </w:r>
          </w:p>
        </w:tc>
        <w:tc>
          <w:tcPr>
            <w:tcW w:type="dxa" w:w="8784"/>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Yetkili kurum, yürürlükteki plan ve imar zonu</w:t>
            </w:r>
          </w:p>
        </w:tc>
      </w:tr>
      <w:tr>
        <w:trPr>
          <w:cantSplit w:val="true"/>
        </w:trPr>
        <w:tc>
          <w:tcPr>
            <w:tcW w:type="dxa" w:w="100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4</w:t>
            </w:r>
          </w:p>
        </w:tc>
        <w:tc>
          <w:tcPr>
            <w:tcW w:type="dxa" w:w="8784"/>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Yoğunluk, taban, kat, yükseklik ve çekme değerleri</w:t>
            </w:r>
          </w:p>
        </w:tc>
      </w:tr>
      <w:tr>
        <w:trPr>
          <w:cantSplit w:val="true"/>
        </w:trPr>
        <w:tc>
          <w:tcPr>
            <w:tcW w:type="dxa" w:w="100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5</w:t>
            </w:r>
          </w:p>
        </w:tc>
        <w:tc>
          <w:tcPr>
            <w:tcW w:type="dxa" w:w="8784"/>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Teorik inşaat alanı ve alternatif proje senaryoları</w:t>
            </w:r>
          </w:p>
        </w:tc>
      </w:tr>
      <w:tr>
        <w:trPr>
          <w:cantSplit w:val="true"/>
        </w:trPr>
        <w:tc>
          <w:tcPr>
            <w:tcW w:type="dxa" w:w="100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6</w:t>
            </w:r>
          </w:p>
        </w:tc>
        <w:tc>
          <w:tcPr>
            <w:tcW w:type="dxa" w:w="8784"/>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Yol, otopark, altyapı, topografya ve erişim</w:t>
            </w:r>
          </w:p>
        </w:tc>
      </w:tr>
      <w:tr>
        <w:trPr>
          <w:cantSplit w:val="true"/>
        </w:trPr>
        <w:tc>
          <w:tcPr>
            <w:tcW w:type="dxa" w:w="100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7</w:t>
            </w:r>
          </w:p>
        </w:tc>
        <w:tc>
          <w:tcPr>
            <w:tcW w:type="dxa" w:w="8784"/>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Kıyı, çevre, miras, taşkın ve diğer riskler</w:t>
            </w:r>
          </w:p>
        </w:tc>
      </w:tr>
      <w:tr>
        <w:trPr>
          <w:cantSplit w:val="true"/>
        </w:trPr>
        <w:tc>
          <w:tcPr>
            <w:tcW w:type="dxa" w:w="100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8</w:t>
            </w:r>
          </w:p>
        </w:tc>
        <w:tc>
          <w:tcPr>
            <w:tcW w:type="dxa" w:w="8784"/>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Eksik belgeler ve resmî doğrulama listesi</w:t>
            </w:r>
          </w:p>
        </w:tc>
      </w:tr>
      <w:tr>
        <w:trPr>
          <w:cantSplit w:val="true"/>
        </w:trPr>
        <w:tc>
          <w:tcPr>
            <w:tcW w:type="dxa" w:w="100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9</w:t>
            </w:r>
          </w:p>
        </w:tc>
        <w:tc>
          <w:tcPr>
            <w:tcW w:type="dxa" w:w="8784"/>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Yatırım veya JV önerisi ve sonraki adımlar</w:t>
            </w:r>
          </w:p>
        </w:tc>
      </w:tr>
    </w:tbl>
    <w:p>
      <w:pPr>
        <w:spacing w:after="0"/>
      </w:pPr>
    </w:p>
    <w:p>
      <w:pPr>
        <w:pStyle w:val="Heading1"/>
      </w:pPr>
      <w:r>
        <w:t>Resmî başlangıç kaynakları</w:t>
      </w:r>
    </w:p>
    <w:tbl>
      <w:tblPr>
        <w:tblW w:type="auto" w:w="0"/>
        <w:jc w:val="center"/>
        <w:tblLayout w:type="fixed"/>
        <w:tblLook w:firstColumn="1" w:firstRow="1" w:lastColumn="0" w:lastRow="0" w:noHBand="0" w:noVBand="1" w:val="04A0"/>
      </w:tblPr>
      <w:tblGrid>
        <w:gridCol w:w="4968"/>
        <w:gridCol w:w="4968"/>
      </w:tblGrid>
      <w:tr>
        <w:trPr>
          <w:tblHeader w:val="true"/>
          <w:cantSplit w:val="true"/>
        </w:trPr>
        <w:tc>
          <w:tcPr>
            <w:tcW w:type="dxa" w:w="4968"/>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Kaynak</w:t>
            </w:r>
          </w:p>
        </w:tc>
        <w:tc>
          <w:tcPr>
            <w:tcW w:type="dxa" w:w="4968"/>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Bağlantı</w:t>
            </w:r>
          </w:p>
        </w:tc>
      </w:tr>
      <w:tr>
        <w:trPr>
          <w:cantSplit w:val="true"/>
        </w:trPr>
        <w:tc>
          <w:tcPr>
            <w:tcW w:type="dxa" w:w="496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rPr>
                <w:sz w:val="18"/>
              </w:rPr>
              <w:t>e Plan Otomasyon Sistemleri</w:t>
            </w:r>
          </w:p>
        </w:tc>
        <w:tc>
          <w:tcPr>
            <w:tcW w:type="dxa" w:w="496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hyperlink r:id="rId9">
              <w:r>
                <w:rPr>
                  <w:color w:val="123F68"/>
                  <w:u w:val="single"/>
                </w:rPr>
                <w:t>https://e-plan.gov.tr/</w:t>
              </w:r>
            </w:hyperlink>
          </w:p>
        </w:tc>
      </w:tr>
      <w:tr>
        <w:trPr>
          <w:cantSplit w:val="true"/>
        </w:trPr>
        <w:tc>
          <w:tcPr>
            <w:tcW w:type="dxa" w:w="496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rPr>
                <w:sz w:val="18"/>
              </w:rPr>
              <w:t>Mekânsal Planlama Genel Müdürlüğü</w:t>
            </w:r>
          </w:p>
        </w:tc>
        <w:tc>
          <w:tcPr>
            <w:tcW w:type="dxa" w:w="496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hyperlink r:id="rId10">
              <w:r>
                <w:rPr>
                  <w:color w:val="123F68"/>
                  <w:u w:val="single"/>
                </w:rPr>
                <w:t>https://mpgm.csb.gov.tr/</w:t>
              </w:r>
            </w:hyperlink>
          </w:p>
        </w:tc>
      </w:tr>
      <w:tr>
        <w:trPr>
          <w:cantSplit w:val="true"/>
        </w:trPr>
        <w:tc>
          <w:tcPr>
            <w:tcW w:type="dxa" w:w="496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rPr>
                <w:sz w:val="18"/>
              </w:rPr>
              <w:t>e Devlet imar ve plan hizmetleri</w:t>
            </w:r>
          </w:p>
        </w:tc>
        <w:tc>
          <w:tcPr>
            <w:tcW w:type="dxa" w:w="496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hyperlink r:id="rId11">
              <w:r>
                <w:rPr>
                  <w:color w:val="123F68"/>
                  <w:u w:val="single"/>
                </w:rPr>
                <w:t>https://www.turkiye.gov.tr/cevre-sehircilik-ve-iklim-degisikligi-bakanligi</w:t>
              </w:r>
            </w:hyperlink>
          </w:p>
        </w:tc>
      </w:tr>
      <w:tr>
        <w:trPr>
          <w:cantSplit w:val="true"/>
        </w:trPr>
        <w:tc>
          <w:tcPr>
            <w:tcW w:type="dxa" w:w="496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rPr>
                <w:sz w:val="18"/>
              </w:rPr>
              <w:t>Tapu ve Kadastro Genel Müdürlüğü</w:t>
            </w:r>
          </w:p>
        </w:tc>
        <w:tc>
          <w:tcPr>
            <w:tcW w:type="dxa" w:w="496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hyperlink r:id="rId12">
              <w:r>
                <w:rPr>
                  <w:color w:val="123F68"/>
                  <w:u w:val="single"/>
                </w:rPr>
                <w:t>https://www.tkgm.gov.tr/</w:t>
              </w:r>
            </w:hyperlink>
          </w:p>
        </w:tc>
      </w:tr>
    </w:tbl>
    <w:p>
      <w:pPr>
        <w:pStyle w:val="Heading1"/>
      </w:pPr>
      <w:r>
        <w:t>Hukuki ve teknik not</w:t>
      </w:r>
    </w:p>
    <w:p>
      <w:r>
        <w:t>Bu belge yatırım ve mimari ön inceleme rehberidir; resmî imar durumu, ruhsat, değerleme veya hukuki görüş değildir. Mevzuat, plan ve harita verileri değişebilir. Parsel bazındaki kararlar ilgili ülkede yetkili mimar, mühendis, planlama uzmanı ve gerektiğinde hukukçu tarafından resmî kurumlardan doğrulanmalıdır.</w:t>
      </w:r>
    </w:p>
    <w:sectPr w:rsidR="00FC693F" w:rsidRPr="0006063C" w:rsidSect="00034616">
      <w:headerReference w:type="default" r:id="rId13"/>
      <w:footerReference w:type="default" r:id="rId14"/>
      <w:pgSz w:w="12240" w:h="15840"/>
      <w:pgMar w:top="1008" w:right="1152" w:bottom="936"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GENCES CONSTRUCTION  |  Ön inceleme belgesi  |  24 Eylül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mallMeta"/>
    </w:pPr>
    <w:r>
      <w:t>GENCES CONSTRUCTION   Şehircilik ve Parsel Ön İnceleme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9" w:lineRule="auto"/>
    </w:pPr>
    <w:rPr>
      <w:rFonts w:ascii="Aptos" w:hAnsi="Aptos"/>
      <w:color w:val="253B4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40"/>
      <w:outlineLvl w:val="0"/>
    </w:pPr>
    <w:rPr>
      <w:rFonts w:asciiTheme="majorHAnsi" w:eastAsiaTheme="majorEastAsia" w:hAnsiTheme="majorHAnsi" w:cstheme="majorBidi" w:ascii="Aptos Display" w:hAnsi="Aptos Display"/>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200" w:after="140"/>
      <w:outlineLvl w:val="1"/>
    </w:pPr>
    <w:rPr>
      <w:rFonts w:asciiTheme="majorHAnsi" w:eastAsiaTheme="majorEastAsia" w:hAnsiTheme="majorHAnsi" w:cstheme="majorBidi" w:ascii="Aptos Display" w:hAnsi="Aptos Display"/>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40" w:line="240" w:lineRule="auto" w:before="200"/>
      <w:contextualSpacing/>
    </w:pPr>
    <w:rPr>
      <w:rFonts w:asciiTheme="majorHAnsi" w:eastAsiaTheme="majorEastAsia" w:hAnsiTheme="majorHAnsi" w:cstheme="majorBidi" w:ascii="Aptos Display" w:hAnsi="Aptos Display"/>
      <w:b/>
      <w:color w:val="000000"/>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Meta">
    <w:name w:val="Small Meta"/>
    <w:rPr>
      <w:rFonts w:ascii="Aptos" w:hAnsi="Aptos"/>
      <w:color w:val="557087"/>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e-plan.gov.tr/" TargetMode="External"/><Relationship Id="rId10" Type="http://schemas.openxmlformats.org/officeDocument/2006/relationships/hyperlink" Target="https://mpgm.csb.gov.tr/" TargetMode="External"/><Relationship Id="rId11" Type="http://schemas.openxmlformats.org/officeDocument/2006/relationships/hyperlink" Target="https://www.turkiye.gov.tr/cevre-sehircilik-ve-iklim-degisikligi-bakanligi" TargetMode="External"/><Relationship Id="rId12" Type="http://schemas.openxmlformats.org/officeDocument/2006/relationships/hyperlink" Target="https://www.tkgm.gov.tr/" TargetMode="External"/><Relationship Id="rId13" Type="http://schemas.openxmlformats.org/officeDocument/2006/relationships/header" Target="header1.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