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Kuzey Kıbrıs Türk Cumhuriyeti Şehircilik ve Koçan Ön İnceleme Rehberi</w:t>
      </w:r>
    </w:p>
    <w:p>
      <w:pPr>
        <w:pStyle w:val="Subtitle"/>
      </w:pPr>
      <w:r>
        <w:rPr>
          <w:color w:val="557087"/>
        </w:rPr>
        <w:t>GENCES CONSTRUCTION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KKTC’de yapılaşma hakkı koçan, pafta harita, parselin bağlı olduğu plan bölgesi ve yürürlükteki Emirname veya İmar Planı birlikte okunarak belirlenir. İlçe veya köy adı tek başına kesin yoğunluk vermez.</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Ülke</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Fasıl 96 Yollar ve Binalar Düzenleme Yasası ile Şehir Planlama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Planlama</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Şehir Planlama Dairesi tarafından yürütülen İmar Planı veya Emirname</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İlgili belediye, kaymakamlık ve altyapı makamlarının koşulları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 pafta harita, ada parsel, yol, irtifak, terk ve site planı</w:t>
            </w:r>
          </w:p>
        </w:tc>
      </w:tr>
    </w:tbl>
    <w:p>
      <w:pPr>
        <w:spacing w:after="0"/>
      </w:pPr>
    </w:p>
    <w:p>
      <w:r>
        <w:rPr>
          <w:b/>
        </w:rPr>
        <w:t xml:space="preserve">Başlangıç makamı  </w:t>
      </w:r>
      <w:r>
        <w:t>Şehir Planlama Dairesi, ilgili belediye, Tapu ve Kadastro Dairesi ve gerekli altyapı kurumları</w:t>
      </w:r>
    </w:p>
    <w:p>
      <w:r>
        <w:rPr>
          <w:b/>
        </w:rPr>
        <w:t xml:space="preserve">Ruhsat yaklaşımı  </w:t>
      </w:r>
      <w:r>
        <w:t>Planlama onayı ve inşaat ruhsatı, yetkili mimar ve mühendislerin hazırladığı proje ile ilgili kurumlarca yürütülür.</w:t>
      </w:r>
    </w:p>
    <w:p>
      <w:pPr>
        <w:pStyle w:val="Heading1"/>
      </w:pPr>
      <w:r>
        <w:t>Koçan geldiğinde yapılacak parsel analizi</w:t>
      </w:r>
    </w:p>
    <w:p>
      <w:pPr>
        <w:pStyle w:val="ListBullet"/>
        <w:spacing w:after="80"/>
      </w:pPr>
      <w:r>
        <w:t>Koçan türü ve hisseli veya müstakil mülkiyet durumu</w:t>
      </w:r>
    </w:p>
    <w:p>
      <w:pPr>
        <w:pStyle w:val="ListBullet"/>
        <w:spacing w:after="80"/>
      </w:pPr>
      <w:r>
        <w:t>Pafta harita, ada ve parsel numarası ile net alan</w:t>
      </w:r>
    </w:p>
    <w:p>
      <w:pPr>
        <w:pStyle w:val="ListBullet"/>
        <w:spacing w:after="80"/>
      </w:pPr>
      <w:r>
        <w:t>Uygulanan İmar Planı veya Emirname ve bölge zonu</w:t>
      </w:r>
    </w:p>
    <w:p>
      <w:pPr>
        <w:pStyle w:val="ListBullet"/>
        <w:spacing w:after="80"/>
      </w:pPr>
      <w:r>
        <w:t>Yoğunluk, taban oranı, kat, yükseklik ve çekme mesafeleri</w:t>
      </w:r>
    </w:p>
    <w:p>
      <w:pPr>
        <w:pStyle w:val="ListBullet"/>
        <w:spacing w:after="80"/>
      </w:pPr>
      <w:r>
        <w:t>Yol genişliği, yol cephesi, terk ve ulaşım görüşü</w:t>
      </w:r>
    </w:p>
    <w:p>
      <w:pPr>
        <w:pStyle w:val="ListBullet"/>
        <w:spacing w:after="80"/>
      </w:pPr>
      <w:r>
        <w:t>Kıyı, dere yatağı, orman, eski eser ve çevresel kısıtlar</w:t>
      </w:r>
    </w:p>
    <w:p>
      <w:pPr>
        <w:pStyle w:val="ListBullet"/>
        <w:spacing w:after="80"/>
      </w:pPr>
      <w:r>
        <w:t>Elektrik, su, kanalizasyon ve yangın erişimi kapasitesi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KKTC Şehir Planlama Dairesi</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https://spd.gov.ct.tr/</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KKTC Mevzuat</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https://mevzuat.gov.ct.tr/</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Tapu ve Kadastro Dairesi</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https://tapu.gov.ct.tr/</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belediye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Parselin bağlı olduğu belediyenin resmî web sitesi</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GENCES CONSTRUCTION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GENCES CONSTRUCTION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d.gov.ct.tr/" TargetMode="External"/><Relationship Id="rId10" Type="http://schemas.openxmlformats.org/officeDocument/2006/relationships/hyperlink" Target="https://mevzuat.gov.ct.tr/" TargetMode="External"/><Relationship Id="rId11" Type="http://schemas.openxmlformats.org/officeDocument/2006/relationships/hyperlink" Target="https://tapu.gov.ct.tr/"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